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9A9384" w:sz="4" w:space="8"/>
        </w:pBdr>
        <w:tabs>
          <w:tab w:val="right" w:pos="9000"/>
        </w:tabs>
        <w:spacing w:after="0"/>
      </w:pPr>
      <w:r>
        <w:rPr>
          <w:rFonts w:ascii="DM Mono" w:cs="DM Mono" w:eastAsia="DM Mono" w:hAnsi="DM Mono"/>
          <w:color w:val="6B6657"/>
          <w:spacing w:val="60"/>
          <w:sz w:val="16"/>
          <w:szCs w:val="16"/>
        </w:rPr>
        <w:t xml:space="preserve">AI USE POLICY</w:t>
      </w:r>
      <w:r>
        <w:rPr>
          <w:rFonts w:ascii="DM Mono" w:cs="DM Mono" w:eastAsia="DM Mono" w:hAnsi="DM Mono"/>
          <w:color w:val="9A9384"/>
          <w:spacing w:val="60"/>
          <w:sz w:val="16"/>
          <w:szCs w:val="16"/>
        </w:rPr>
        <w:tab/>
        <w:t xml:space="preserve">V1.1  ·  MAY 2026</w:t>
      </w:r>
    </w:p>
    <w:p>
      <w:pPr>
        <w:spacing w:after="80" w:before="800"/>
      </w:pPr>
      <w:r>
        <w:rPr>
          <w:rFonts w:ascii="DM Mono" w:cs="DM Mono" w:eastAsia="DM Mono" w:hAnsi="DM Mono"/>
          <w:color w:val="6B6657"/>
          <w:spacing w:val="60"/>
          <w:sz w:val="16"/>
          <w:szCs w:val="16"/>
        </w:rPr>
        <w:t xml:space="preserve">TEMPLATE</w:t>
      </w:r>
    </w:p>
    <w:p>
      <w:pPr>
        <w:spacing w:after="160" w:before="0"/>
      </w:pPr>
      <w:r>
        <w:rPr>
          <w:rFonts w:ascii="Cormorant Garamond" w:cs="Cormorant Garamond" w:eastAsia="Cormorant Garamond" w:hAnsi="Cormorant Garamond"/>
          <w:color w:val="29261B"/>
          <w:sz w:val="64"/>
          <w:szCs w:val="64"/>
        </w:rPr>
        <w:t xml:space="preserve">AI Use Policy</w:t>
      </w:r>
    </w:p>
    <w:p>
      <w:pPr>
        <w:spacing w:after="360" w:before="0"/>
      </w:pPr>
      <w:r>
        <w:rPr>
          <w:rFonts w:ascii="Cormorant Garamond" w:cs="Cormorant Garamond" w:eastAsia="Cormorant Garamond" w:hAnsi="Cormorant Garamond"/>
          <w:i/>
          <w:iCs/>
          <w:color w:val="6B6657"/>
          <w:sz w:val="28"/>
          <w:szCs w:val="28"/>
        </w:rPr>
        <w:t xml:space="preserve">A starter framework for a small consultancy or independent practice, aligned with the EU AI Act and adjacent GDPR obligations.</w:t>
      </w:r>
    </w:p>
    <w:tbl>
      <w:tblPr>
        <w:tblW w:type="dxa" w:w="9000"/>
        <w:tblBorders>
          <w:top w:val="none" w:color="FFFFFF" w:sz="0"/>
          <w:left w:val="single" w:color="9A9384" w:sz="12"/>
          <w:bottom w:val="none" w:color="FFFFFF" w:sz="0"/>
          <w:right w:val="none" w:color="FFFFFF" w:sz="0"/>
          <w:insideH w:val="none" w:color="FFFFFF" w:sz="0"/>
          <w:insideV w:val="none" w:color="FFFFFF" w:sz="0"/>
        </w:tblBorders>
      </w:tblPr>
      <w:tblGrid>
        <w:gridCol w:w="9000"/>
      </w:tblGrid>
      <w:tr>
        <w:tc>
          <w:tcPr>
            <w:tcW w:type="dxa" w:w="9000"/>
            <w:shd w:fill="ECDFC7" w:color="auto" w:val="clear"/>
            <w:tcMar>
              <w:top w:type="dxa" w:w="320"/>
              <w:left w:type="dxa" w:w="360"/>
              <w:bottom w:type="dxa" w:w="320"/>
              <w:right w:type="dxa" w:w="360"/>
            </w:tcMar>
          </w:tcPr>
          <w:p>
            <w:pPr>
              <w:spacing w:after="120"/>
            </w:pPr>
            <w:r>
              <w:rPr>
                <w:rFonts w:ascii="Cormorant Garamond" w:cs="Cormorant Garamond" w:eastAsia="Cormorant Garamond" w:hAnsi="Cormorant Garamond"/>
                <w:color w:val="29261B"/>
                <w:sz w:val="28"/>
                <w:szCs w:val="28"/>
              </w:rPr>
              <w:t xml:space="preserve">Read this first.</w:t>
            </w:r>
          </w:p>
          <w:p>
            <w:pPr>
              <w:spacing w:after="100" w:line="300"/>
            </w:pPr>
            <w:r>
              <w:rPr>
                <w:rFonts w:ascii="DM Sans" w:cs="DM Sans" w:eastAsia="DM Sans" w:hAnsi="DM Sans"/>
                <w:color w:val="29261B"/>
                <w:sz w:val="20"/>
                <w:szCs w:val="20"/>
              </w:rPr>
              <w:t xml:space="preserve">This is a starting point, not legal advice. Fill in the fields for your practice, review with your team, and revisit each quarter.</w:t>
            </w:r>
          </w:p>
          <w:p>
            <w:pPr>
              <w:spacing w:after="100" w:line="300"/>
            </w:pPr>
            <w:r>
              <w:rPr>
                <w:rFonts w:ascii="DM Sans" w:cs="DM Sans" w:eastAsia="DM Sans" w:hAnsi="DM Sans"/>
                <w:color w:val="29261B"/>
                <w:sz w:val="20"/>
                <w:szCs w:val="20"/>
              </w:rPr>
              <w:t xml:space="preserve">If any AI tool in your practice falls into the high-risk category (Annex III of the EU AI Act: employment screening, credit, education, biometrics, essential public services, critical infrastructure, law enforcement, migration, or justice), the obligations in Sections 04 and Annex A apply additionally. Consult a lawyer if you are uncertain.</w:t>
            </w:r>
          </w:p>
        </w:tc>
      </w:tr>
    </w:tbl>
    <w:p>
      <w:pPr>
        <w:spacing w:after="80" w:before="480"/>
      </w:pPr>
      <w:r>
        <w:rPr>
          <w:rFonts w:ascii="DM Mono" w:cs="DM Mono" w:eastAsia="DM Mono" w:hAnsi="DM Mono"/>
          <w:color w:val="6B6657"/>
          <w:spacing w:val="60"/>
          <w:sz w:val="16"/>
          <w:szCs w:val="16"/>
        </w:rPr>
        <w:t xml:space="preserve">01</w:t>
      </w:r>
      <w:r>
        <w:rPr>
          <w:rFonts w:ascii="DM Mono" w:cs="DM Mono" w:eastAsia="DM Mono" w:hAnsi="DM Mono"/>
          <w:color w:val="9A9384"/>
          <w:sz w:val="16"/>
          <w:szCs w:val="16"/>
        </w:rPr>
        <w:t xml:space="preserve">  ·  </w:t>
      </w:r>
      <w:r>
        <w:rPr>
          <w:rFonts w:ascii="DM Mono" w:cs="DM Mono" w:eastAsia="DM Mono" w:hAnsi="DM Mono"/>
          <w:color w:val="6B6657"/>
          <w:spacing w:val="60"/>
          <w:sz w:val="16"/>
          <w:szCs w:val="16"/>
        </w:rPr>
        <w:t xml:space="preserve">PRACTICE</w:t>
      </w:r>
    </w:p>
    <w:p>
      <w:pPr>
        <w:spacing w:after="240" w:before="0"/>
      </w:pPr>
      <w:r>
        <w:rPr>
          <w:rFonts w:ascii="Cormorant Garamond" w:cs="Cormorant Garamond" w:eastAsia="Cormorant Garamond" w:hAnsi="Cormorant Garamond"/>
          <w:color w:val="29261B"/>
          <w:sz w:val="36"/>
          <w:szCs w:val="36"/>
        </w:rPr>
        <w:t xml:space="preserve">Who this policy belongs to.</w:t>
      </w:r>
    </w:p>
    <w:p>
      <w:pPr>
        <w:spacing w:after="160" w:before="0" w:line="320"/>
      </w:pPr>
      <w:r>
        <w:rPr>
          <w:rFonts w:ascii="DM Sans" w:cs="DM Sans" w:eastAsia="DM Sans" w:hAnsi="DM Sans"/>
          <w:color w:val="29261B"/>
          <w:sz w:val="22"/>
          <w:szCs w:val="22"/>
        </w:rPr>
        <w:t xml:space="preserve">Fill in the basics. This identifies whose practice this policy covers and who is responsible for keeping it current.</w:t>
      </w:r>
    </w:p>
    <w:p>
      <w:pPr>
        <w:spacing w:after="80" w:before="0"/>
      </w:pPr>
      <w:r>
        <w:rPr>
          <w:rFonts w:ascii="DM Mono" w:cs="DM Mono" w:eastAsia="DM Mono" w:hAnsi="DM Mono"/>
          <w:color w:val="9A9384"/>
          <w:spacing w:val="50"/>
          <w:sz w:val="14"/>
          <w:szCs w:val="14"/>
        </w:rPr>
        <w:t xml:space="preserve">PRACTICE NAME</w:t>
      </w:r>
    </w:p>
    <w:p>
      <w:pPr>
        <w:pBdr>
          <w:bottom w:val="single" w:color="E3DDD0" w:sz="4" w:space="6"/>
        </w:pBdr>
        <w:spacing w:after="240" w:before="0"/>
      </w:pPr>
      <w:r>
        <w:rPr>
          <w:rFonts w:ascii="DM Sans" w:cs="DM Sans" w:eastAsia="DM Sans" w:hAnsi="DM Sans"/>
          <w:i w:val="false"/>
          <w:iCs w:val="false"/>
          <w:color w:val="6B6657"/>
          <w:sz w:val="22"/>
          <w:szCs w:val="22"/>
        </w:rPr>
        <w:t xml:space="preserve"> </w:t>
      </w:r>
    </w:p>
    <w:p>
      <w:pPr>
        <w:spacing w:after="80" w:before="0"/>
      </w:pPr>
      <w:r>
        <w:rPr>
          <w:rFonts w:ascii="DM Mono" w:cs="DM Mono" w:eastAsia="DM Mono" w:hAnsi="DM Mono"/>
          <w:color w:val="9A9384"/>
          <w:spacing w:val="50"/>
          <w:sz w:val="14"/>
          <w:szCs w:val="14"/>
        </w:rPr>
        <w:t xml:space="preserve">PERSON RESPONSIBLE FOR AI USE</w:t>
      </w:r>
    </w:p>
    <w:p>
      <w:pPr>
        <w:pBdr>
          <w:bottom w:val="single" w:color="E3DDD0" w:sz="4" w:space="6"/>
        </w:pBdr>
        <w:spacing w:after="240" w:before="0"/>
      </w:pPr>
      <w:r>
        <w:rPr>
          <w:rFonts w:ascii="DM Sans" w:cs="DM Sans" w:eastAsia="DM Sans" w:hAnsi="DM Sans"/>
          <w:i w:val="false"/>
          <w:iCs w:val="false"/>
          <w:color w:val="6B6657"/>
          <w:sz w:val="22"/>
          <w:szCs w:val="22"/>
        </w:rPr>
        <w:t xml:space="preserve"> </w:t>
      </w:r>
    </w:p>
    <w:p>
      <w:pPr>
        <w:spacing w:after="80" w:before="0"/>
      </w:pPr>
      <w:r>
        <w:rPr>
          <w:rFonts w:ascii="DM Mono" w:cs="DM Mono" w:eastAsia="DM Mono" w:hAnsi="DM Mono"/>
          <w:color w:val="9A9384"/>
          <w:spacing w:val="50"/>
          <w:sz w:val="14"/>
          <w:szCs w:val="14"/>
        </w:rPr>
        <w:t xml:space="preserve">COUNTRY OF ESTABLISHMENT</w:t>
      </w:r>
    </w:p>
    <w:p>
      <w:pPr>
        <w:pBdr>
          <w:bottom w:val="single" w:color="E3DDD0" w:sz="4" w:space="6"/>
        </w:pBdr>
        <w:spacing w:after="240" w:before="0"/>
      </w:pPr>
      <w:r>
        <w:rPr>
          <w:rFonts w:ascii="DM Sans" w:cs="DM Sans" w:eastAsia="DM Sans" w:hAnsi="DM Sans"/>
          <w:i w:val="false"/>
          <w:iCs w:val="false"/>
          <w:color w:val="6B6657"/>
          <w:sz w:val="22"/>
          <w:szCs w:val="22"/>
        </w:rPr>
        <w:t xml:space="preserve"> </w:t>
      </w:r>
    </w:p>
    <w:p>
      <w:pPr>
        <w:spacing w:after="80" w:before="0"/>
      </w:pPr>
      <w:r>
        <w:rPr>
          <w:rFonts w:ascii="DM Mono" w:cs="DM Mono" w:eastAsia="DM Mono" w:hAnsi="DM Mono"/>
          <w:color w:val="9A9384"/>
          <w:spacing w:val="50"/>
          <w:sz w:val="14"/>
          <w:szCs w:val="14"/>
        </w:rPr>
        <w:t xml:space="preserve">DATE OF THIS VERSION</w:t>
      </w:r>
    </w:p>
    <w:p>
      <w:pPr>
        <w:pBdr>
          <w:bottom w:val="single" w:color="E3DDD0" w:sz="4" w:space="6"/>
        </w:pBdr>
        <w:spacing w:after="240" w:before="0"/>
      </w:pPr>
      <w:r>
        <w:rPr>
          <w:rFonts w:ascii="DM Sans" w:cs="DM Sans" w:eastAsia="DM Sans" w:hAnsi="DM Sans"/>
          <w:i w:val="false"/>
          <w:iCs w:val="false"/>
          <w:color w:val="6B6657"/>
          <w:sz w:val="22"/>
          <w:szCs w:val="22"/>
        </w:rPr>
        <w:t xml:space="preserve"> </w:t>
      </w:r>
    </w:p>
    <w:p>
      <w:pPr>
        <w:spacing w:after="80" w:before="0"/>
      </w:pPr>
      <w:r>
        <w:rPr>
          <w:rFonts w:ascii="DM Mono" w:cs="DM Mono" w:eastAsia="DM Mono" w:hAnsi="DM Mono"/>
          <w:color w:val="9A9384"/>
          <w:spacing w:val="50"/>
          <w:sz w:val="14"/>
          <w:szCs w:val="14"/>
        </w:rPr>
        <w:t xml:space="preserve">DATE OF NEXT QUARTERLY REVIEW</w:t>
      </w:r>
    </w:p>
    <w:p>
      <w:pPr>
        <w:pBdr>
          <w:bottom w:val="single" w:color="E3DDD0" w:sz="4" w:space="6"/>
        </w:pBdr>
        <w:spacing w:after="240" w:before="0"/>
      </w:pPr>
      <w:r>
        <w:rPr>
          <w:rFonts w:ascii="DM Sans" w:cs="DM Sans" w:eastAsia="DM Sans" w:hAnsi="DM Sans"/>
          <w:i w:val="false"/>
          <w:iCs w:val="false"/>
          <w:color w:val="6B6657"/>
          <w:sz w:val="22"/>
          <w:szCs w:val="22"/>
        </w:rPr>
        <w:t xml:space="preserve"> </w:t>
      </w:r>
    </w:p>
    <w:p>
      <w:pPr>
        <w:spacing w:after="80" w:before="480"/>
      </w:pPr>
      <w:r>
        <w:rPr>
          <w:rFonts w:ascii="DM Mono" w:cs="DM Mono" w:eastAsia="DM Mono" w:hAnsi="DM Mono"/>
          <w:color w:val="6B6657"/>
          <w:spacing w:val="60"/>
          <w:sz w:val="16"/>
          <w:szCs w:val="16"/>
        </w:rPr>
        <w:t xml:space="preserve">02</w:t>
      </w:r>
      <w:r>
        <w:rPr>
          <w:rFonts w:ascii="DM Mono" w:cs="DM Mono" w:eastAsia="DM Mono" w:hAnsi="DM Mono"/>
          <w:color w:val="9A9384"/>
          <w:sz w:val="16"/>
          <w:szCs w:val="16"/>
        </w:rPr>
        <w:t xml:space="preserve">  ·  </w:t>
      </w:r>
      <w:r>
        <w:rPr>
          <w:rFonts w:ascii="DM Mono" w:cs="DM Mono" w:eastAsia="DM Mono" w:hAnsi="DM Mono"/>
          <w:color w:val="6B6657"/>
          <w:spacing w:val="60"/>
          <w:sz w:val="16"/>
          <w:szCs w:val="16"/>
        </w:rPr>
        <w:t xml:space="preserve">INVENTORY</w:t>
      </w:r>
    </w:p>
    <w:p>
      <w:pPr>
        <w:spacing w:after="240" w:before="0"/>
      </w:pPr>
      <w:r>
        <w:rPr>
          <w:rFonts w:ascii="Cormorant Garamond" w:cs="Cormorant Garamond" w:eastAsia="Cormorant Garamond" w:hAnsi="Cormorant Garamond"/>
          <w:color w:val="29261B"/>
          <w:sz w:val="36"/>
          <w:szCs w:val="36"/>
        </w:rPr>
        <w:t xml:space="preserve">Which AI tools we use, and what for.</w:t>
      </w:r>
    </w:p>
    <w:p>
      <w:pPr>
        <w:spacing w:after="160" w:before="0" w:line="320"/>
      </w:pPr>
      <w:r>
        <w:rPr>
          <w:rFonts w:ascii="DM Sans" w:cs="DM Sans" w:eastAsia="DM Sans" w:hAnsi="DM Sans"/>
          <w:color w:val="29261B"/>
          <w:sz w:val="22"/>
          <w:szCs w:val="22"/>
        </w:rPr>
        <w:t xml:space="preserve">List every AI tool currently used in this practice and on client work. Include the AI features inside SaaS tools you already use (CRMs, helpdesks, design tools), not just standalone AI products. For each tool, note its purpose, whether the provider offers EU data residency, whether you can opt out of training, and the EU AI Act risk classification of how you use it.</w:t>
      </w:r>
    </w:p>
    <w:p>
      <w:pPr>
        <w:spacing w:after="160" w:before="0" w:line="320"/>
      </w:pPr>
      <w:r>
        <w:rPr>
          <w:rFonts w:ascii="DM Sans" w:cs="DM Sans" w:eastAsia="DM Sans" w:hAnsi="DM Sans"/>
          <w:b/>
          <w:bCs/>
          <w:color w:val="29261B"/>
          <w:sz w:val="22"/>
          <w:szCs w:val="22"/>
        </w:rPr>
        <w:t xml:space="preserve">Risk classifications: </w:t>
      </w:r>
      <w:r>
        <w:rPr>
          <w:rFonts w:ascii="DM Sans" w:cs="DM Sans" w:eastAsia="DM Sans" w:hAnsi="DM Sans"/>
          <w:color w:val="6B6657"/>
          <w:sz w:val="22"/>
          <w:szCs w:val="22"/>
        </w:rPr>
        <w:t xml:space="preserve">Prohibited (Article 5) · High (Annex III) · Limited (Article 50 transparency) · Minimal (largely unregulated, literacy duties still apply).</w:t>
      </w:r>
    </w:p>
    <w:tbl>
      <w:tblPr>
        <w:tblW w:type="dxa" w:w="9000"/>
        <w:tblBorders>
          <w:top w:val="single" w:color="9A9384" w:sz="8"/>
          <w:left w:val="none" w:color="FFFFFF" w:sz="0"/>
          <w:bottom w:val="single" w:color="E3DDD0" w:sz="4"/>
          <w:right w:val="none" w:color="FFFFFF" w:sz="0"/>
          <w:insideH w:val="single" w:color="E3DDD0" w:sz="4"/>
          <w:insideV w:val="none" w:color="FFFFFF" w:sz="0"/>
        </w:tblBorders>
      </w:tblPr>
      <w:tblGrid>
        <w:gridCol w:w="2100"/>
        <w:gridCol w:w="2700"/>
        <w:gridCol w:w="1500"/>
        <w:gridCol w:w="1400"/>
        <w:gridCol w:w="1300"/>
      </w:tblGrid>
      <w:tr>
        <w:tc>
          <w:tcPr>
            <w:tcW w:type="dxa" w:w="21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Mono" w:cs="DM Mono" w:eastAsia="DM Mono" w:hAnsi="DM Mono"/>
                <w:color w:val="6B6657"/>
                <w:spacing w:val="50"/>
                <w:sz w:val="14"/>
                <w:szCs w:val="14"/>
              </w:rPr>
              <w:t xml:space="preserve">TOOL</w:t>
            </w:r>
          </w:p>
        </w:tc>
        <w:tc>
          <w:tcPr>
            <w:tcW w:type="dxa" w:w="27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Mono" w:cs="DM Mono" w:eastAsia="DM Mono" w:hAnsi="DM Mono"/>
                <w:color w:val="6B6657"/>
                <w:spacing w:val="50"/>
                <w:sz w:val="14"/>
                <w:szCs w:val="14"/>
              </w:rPr>
              <w:t xml:space="preserve">PURPOSE</w:t>
            </w:r>
          </w:p>
        </w:tc>
        <w:tc>
          <w:tcPr>
            <w:tcW w:type="dxa" w:w="15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Mono" w:cs="DM Mono" w:eastAsia="DM Mono" w:hAnsi="DM Mono"/>
                <w:color w:val="6B6657"/>
                <w:spacing w:val="50"/>
                <w:sz w:val="14"/>
                <w:szCs w:val="14"/>
              </w:rPr>
              <w:t xml:space="preserve">EU RESIDENCY</w:t>
            </w:r>
          </w:p>
        </w:tc>
        <w:tc>
          <w:tcPr>
            <w:tcW w:type="dxa" w:w="14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Mono" w:cs="DM Mono" w:eastAsia="DM Mono" w:hAnsi="DM Mono"/>
                <w:color w:val="6B6657"/>
                <w:spacing w:val="50"/>
                <w:sz w:val="14"/>
                <w:szCs w:val="14"/>
              </w:rPr>
              <w:t xml:space="preserve">TRAINING OPT-OUT</w:t>
            </w:r>
          </w:p>
        </w:tc>
        <w:tc>
          <w:tcPr>
            <w:tcW w:type="dxa" w:w="13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Mono" w:cs="DM Mono" w:eastAsia="DM Mono" w:hAnsi="DM Mono"/>
                <w:color w:val="6B6657"/>
                <w:spacing w:val="50"/>
                <w:sz w:val="14"/>
                <w:szCs w:val="14"/>
              </w:rPr>
              <w:t xml:space="preserve">RISK CLASS</w:t>
            </w:r>
          </w:p>
        </w:tc>
      </w:tr>
      <w:tr>
        <w:tc>
          <w:tcPr>
            <w:tcW w:type="dxa" w:w="21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27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5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4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3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r>
      <w:tr>
        <w:tc>
          <w:tcPr>
            <w:tcW w:type="dxa" w:w="21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27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5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4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3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r>
      <w:tr>
        <w:tc>
          <w:tcPr>
            <w:tcW w:type="dxa" w:w="21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27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5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4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3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r>
      <w:tr>
        <w:tc>
          <w:tcPr>
            <w:tcW w:type="dxa" w:w="21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27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5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4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3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r>
      <w:tr>
        <w:tc>
          <w:tcPr>
            <w:tcW w:type="dxa" w:w="21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27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5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4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c>
          <w:tcPr>
            <w:tcW w:type="dxa" w:w="1300"/>
            <w:tcBorders>
              <w:top w:val="single" w:color="E3DDD0" w:sz="4"/>
              <w:left w:val="none" w:color="FFFFFF" w:sz="0"/>
              <w:bottom w:val="single" w:color="E3DDD0" w:sz="4"/>
              <w:right w:val="none" w:color="FFFFFF" w:sz="0"/>
            </w:tcBorders>
            <w:shd w:fill="FFFFFF" w:color="auto" w:val="clear"/>
            <w:tcMar>
              <w:top w:type="dxa" w:w="120"/>
              <w:left w:type="dxa" w:w="140"/>
              <w:bottom w:type="dxa" w:w="120"/>
              <w:right w:type="dxa" w:w="140"/>
            </w:tcMar>
            <w:vAlign w:val="top"/>
          </w:tcPr>
          <w:p>
            <w:pPr>
              <w:spacing w:after="0"/>
            </w:pPr>
            <w:r>
              <w:rPr>
                <w:rFonts w:ascii="DM Sans" w:cs="DM Sans" w:eastAsia="DM Sans" w:hAnsi="DM Sans"/>
                <w:color w:val="9A9384"/>
                <w:sz w:val="18"/>
                <w:szCs w:val="18"/>
              </w:rPr>
              <w:t xml:space="preserve"> </w:t>
            </w:r>
          </w:p>
        </w:tc>
      </w:tr>
    </w:tbl>
    <w:p>
      <w:pPr>
        <w:spacing w:after="0" w:before="160"/>
      </w:pPr>
      <w:r>
        <w:rPr>
          <w:rFonts w:ascii="DM Sans" w:cs="DM Sans" w:eastAsia="DM Sans" w:hAnsi="DM Sans"/>
          <w:i/>
          <w:iCs/>
          <w:color w:val="6B6657"/>
          <w:sz w:val="18"/>
          <w:szCs w:val="18"/>
        </w:rPr>
        <w:t xml:space="preserve">For more rows, see the companion inventory spreadsheet.</w:t>
      </w:r>
    </w:p>
    <w:p>
      <w:pPr>
        <w:spacing w:after="0" w:before="80"/>
      </w:pPr>
      <w:r>
        <w:rPr>
          <w:rFonts w:ascii="DM Sans" w:cs="DM Sans" w:eastAsia="DM Sans" w:hAnsi="DM Sans"/>
          <w:i/>
          <w:iCs/>
          <w:color w:val="6B6657"/>
          <w:sz w:val="18"/>
          <w:szCs w:val="18"/>
        </w:rPr>
        <w:t xml:space="preserve">If any tool in this inventory is classified as High, see Annex A for the additional obligations that apply.</w:t>
      </w:r>
    </w:p>
    <w:p>
      <w:pPr>
        <w:spacing w:after="80" w:before="480"/>
      </w:pPr>
      <w:r>
        <w:rPr>
          <w:rFonts w:ascii="DM Mono" w:cs="DM Mono" w:eastAsia="DM Mono" w:hAnsi="DM Mono"/>
          <w:color w:val="6B6657"/>
          <w:spacing w:val="60"/>
          <w:sz w:val="16"/>
          <w:szCs w:val="16"/>
        </w:rPr>
        <w:t xml:space="preserve">03</w:t>
      </w:r>
      <w:r>
        <w:rPr>
          <w:rFonts w:ascii="DM Mono" w:cs="DM Mono" w:eastAsia="DM Mono" w:hAnsi="DM Mono"/>
          <w:color w:val="9A9384"/>
          <w:sz w:val="16"/>
          <w:szCs w:val="16"/>
        </w:rPr>
        <w:t xml:space="preserve">  ·  </w:t>
      </w:r>
      <w:r>
        <w:rPr>
          <w:rFonts w:ascii="DM Mono" w:cs="DM Mono" w:eastAsia="DM Mono" w:hAnsi="DM Mono"/>
          <w:color w:val="6B6657"/>
          <w:spacing w:val="60"/>
          <w:sz w:val="16"/>
          <w:szCs w:val="16"/>
        </w:rPr>
        <w:t xml:space="preserve">PERMITTED</w:t>
      </w:r>
    </w:p>
    <w:p>
      <w:pPr>
        <w:spacing w:after="240" w:before="0"/>
      </w:pPr>
      <w:r>
        <w:rPr>
          <w:rFonts w:ascii="Cormorant Garamond" w:cs="Cormorant Garamond" w:eastAsia="Cormorant Garamond" w:hAnsi="Cormorant Garamond"/>
          <w:color w:val="29261B"/>
          <w:sz w:val="36"/>
          <w:szCs w:val="36"/>
        </w:rPr>
        <w:t xml:space="preserve">How we use AI in our work.</w:t>
      </w:r>
    </w:p>
    <w:p>
      <w:pPr>
        <w:spacing w:after="160" w:before="0" w:line="320"/>
      </w:pPr>
      <w:r>
        <w:rPr>
          <w:rFonts w:ascii="DM Sans" w:cs="DM Sans" w:eastAsia="DM Sans" w:hAnsi="DM Sans"/>
          <w:color w:val="29261B"/>
          <w:sz w:val="22"/>
          <w:szCs w:val="22"/>
        </w:rPr>
        <w:t xml:space="preserve">Describe what AI is used for in this practice. Be specific. Generic permissions create generic risk.</w:t>
      </w:r>
    </w:p>
    <w:p>
      <w:pPr>
        <w:spacing w:after="80" w:before="0"/>
      </w:pPr>
      <w:r>
        <w:rPr>
          <w:rFonts w:ascii="DM Mono" w:cs="DM Mono" w:eastAsia="DM Mono" w:hAnsi="DM Mono"/>
          <w:color w:val="9A9384"/>
          <w:spacing w:val="50"/>
          <w:sz w:val="14"/>
          <w:szCs w:val="14"/>
        </w:rPr>
        <w:t xml:space="preserve">WE USE AI TO...</w:t>
      </w:r>
    </w:p>
    <w:p>
      <w:pPr>
        <w:pBdr>
          <w:bottom w:val="single" w:color="E3DDD0" w:sz="4" w:space="6"/>
        </w:pBdr>
        <w:spacing w:after="240" w:before="0"/>
      </w:pPr>
      <w:r>
        <w:rPr>
          <w:rFonts w:ascii="DM Sans" w:cs="DM Sans" w:eastAsia="DM Sans" w:hAnsi="DM Sans"/>
          <w:i/>
          <w:iCs/>
          <w:color w:val="6B6657"/>
          <w:sz w:val="22"/>
          <w:szCs w:val="22"/>
        </w:rPr>
        <w:t xml:space="preserve">e.g. draft client communications, summarise meeting notes, structure proposals</w:t>
      </w:r>
    </w:p>
    <w:p>
      <w:pPr>
        <w:pBdr>
          <w:bottom w:val="single" w:color="E3DDD0" w:sz="4" w:space="6"/>
        </w:pBdr>
        <w:spacing w:after="240" w:before="0"/>
      </w:pPr>
      <w:r>
        <w:rPr>
          <w:rFonts w:ascii="DM Sans" w:cs="DM Sans" w:eastAsia="DM Sans" w:hAnsi="DM Sans"/>
          <w:i w:val="false"/>
          <w:iCs w:val="false"/>
          <w:color w:val="6B6657"/>
          <w:sz w:val="22"/>
          <w:szCs w:val="22"/>
        </w:rPr>
        <w:t xml:space="preserve"> </w:t>
      </w:r>
    </w:p>
    <w:p>
      <w:pPr>
        <w:pBdr>
          <w:bottom w:val="single" w:color="E3DDD0" w:sz="4" w:space="6"/>
        </w:pBdr>
        <w:spacing w:after="240" w:before="0"/>
      </w:pPr>
      <w:r>
        <w:rPr>
          <w:rFonts w:ascii="DM Sans" w:cs="DM Sans" w:eastAsia="DM Sans" w:hAnsi="DM Sans"/>
          <w:i w:val="false"/>
          <w:iCs w:val="false"/>
          <w:color w:val="6B6657"/>
          <w:sz w:val="22"/>
          <w:szCs w:val="22"/>
        </w:rPr>
        <w:t xml:space="preserve"> </w:t>
      </w:r>
    </w:p>
    <w:p>
      <w:pPr>
        <w:spacing w:after="80" w:before="480"/>
      </w:pPr>
      <w:r>
        <w:rPr>
          <w:rFonts w:ascii="DM Mono" w:cs="DM Mono" w:eastAsia="DM Mono" w:hAnsi="DM Mono"/>
          <w:color w:val="6B6657"/>
          <w:spacing w:val="60"/>
          <w:sz w:val="16"/>
          <w:szCs w:val="16"/>
        </w:rPr>
        <w:t xml:space="preserve">04</w:t>
      </w:r>
      <w:r>
        <w:rPr>
          <w:rFonts w:ascii="DM Mono" w:cs="DM Mono" w:eastAsia="DM Mono" w:hAnsi="DM Mono"/>
          <w:color w:val="9A9384"/>
          <w:sz w:val="16"/>
          <w:szCs w:val="16"/>
        </w:rPr>
        <w:t xml:space="preserve">  ·  </w:t>
      </w:r>
      <w:r>
        <w:rPr>
          <w:rFonts w:ascii="DM Mono" w:cs="DM Mono" w:eastAsia="DM Mono" w:hAnsi="DM Mono"/>
          <w:color w:val="6B6657"/>
          <w:spacing w:val="60"/>
          <w:sz w:val="16"/>
          <w:szCs w:val="16"/>
        </w:rPr>
        <w:t xml:space="preserve">NOT PERMITTED</w:t>
      </w:r>
    </w:p>
    <w:p>
      <w:pPr>
        <w:spacing w:after="240" w:before="0"/>
      </w:pPr>
      <w:r>
        <w:rPr>
          <w:rFonts w:ascii="Cormorant Garamond" w:cs="Cormorant Garamond" w:eastAsia="Cormorant Garamond" w:hAnsi="Cormorant Garamond"/>
          <w:color w:val="29261B"/>
          <w:sz w:val="36"/>
          <w:szCs w:val="36"/>
        </w:rPr>
        <w:t xml:space="preserve">How we do not use AI.</w:t>
      </w:r>
    </w:p>
    <w:p>
      <w:pPr>
        <w:spacing w:after="160" w:before="0" w:line="320"/>
      </w:pPr>
      <w:r>
        <w:rPr>
          <w:rFonts w:ascii="DM Sans" w:cs="DM Sans" w:eastAsia="DM Sans" w:hAnsi="DM Sans"/>
          <w:color w:val="29261B"/>
          <w:sz w:val="22"/>
          <w:szCs w:val="22"/>
        </w:rPr>
        <w:t xml:space="preserve">Article 5 of the EU AI Act prohibits certain AI practices outright. None of these are likely to apply to a small consultancy, but the list is reproduced here for completeness:</w:t>
      </w:r>
    </w:p>
    <w:p>
      <w:pPr>
        <w:pStyle w:val="ListParagraph"/>
        <w:numPr>
          <w:ilvl w:val="0"/>
          <w:numId w:val="2"/>
        </w:numPr>
        <w:spacing w:after="80" w:before="0" w:line="300"/>
      </w:pPr>
      <w:r>
        <w:rPr>
          <w:rFonts w:ascii="DM Sans" w:cs="DM Sans" w:eastAsia="DM Sans" w:hAnsi="DM Sans"/>
          <w:color w:val="29261B"/>
          <w:sz w:val="22"/>
          <w:szCs w:val="22"/>
        </w:rPr>
        <w:t xml:space="preserve">Manipulative AI that distorts decisions in ways that cause harm.</w:t>
      </w:r>
    </w:p>
    <w:p>
      <w:pPr>
        <w:pStyle w:val="ListParagraph"/>
        <w:numPr>
          <w:ilvl w:val="0"/>
          <w:numId w:val="2"/>
        </w:numPr>
        <w:spacing w:after="80" w:before="0" w:line="300"/>
      </w:pPr>
      <w:r>
        <w:rPr>
          <w:rFonts w:ascii="DM Sans" w:cs="DM Sans" w:eastAsia="DM Sans" w:hAnsi="DM Sans"/>
          <w:color w:val="29261B"/>
          <w:sz w:val="22"/>
          <w:szCs w:val="22"/>
        </w:rPr>
        <w:t xml:space="preserve">Exploitative AI targeting vulnerable groups (age, disability, socio-economic status).</w:t>
      </w:r>
    </w:p>
    <w:p>
      <w:pPr>
        <w:pStyle w:val="ListParagraph"/>
        <w:numPr>
          <w:ilvl w:val="0"/>
          <w:numId w:val="2"/>
        </w:numPr>
        <w:spacing w:after="80" w:before="0" w:line="300"/>
      </w:pPr>
      <w:r>
        <w:rPr>
          <w:rFonts w:ascii="DM Sans" w:cs="DM Sans" w:eastAsia="DM Sans" w:hAnsi="DM Sans"/>
          <w:color w:val="29261B"/>
          <w:sz w:val="22"/>
          <w:szCs w:val="22"/>
        </w:rPr>
        <w:t xml:space="preserve">Social scoring of people using personal or behavioural data, leading to unfavourable treatment.</w:t>
      </w:r>
    </w:p>
    <w:p>
      <w:pPr>
        <w:pStyle w:val="ListParagraph"/>
        <w:numPr>
          <w:ilvl w:val="0"/>
          <w:numId w:val="2"/>
        </w:numPr>
        <w:spacing w:after="80" w:before="0" w:line="300"/>
      </w:pPr>
      <w:r>
        <w:rPr>
          <w:rFonts w:ascii="DM Sans" w:cs="DM Sans" w:eastAsia="DM Sans" w:hAnsi="DM Sans"/>
          <w:color w:val="29261B"/>
          <w:sz w:val="22"/>
          <w:szCs w:val="22"/>
        </w:rPr>
        <w:t xml:space="preserve">Predictive policing based purely on profiling or personality traits.</w:t>
      </w:r>
    </w:p>
    <w:p>
      <w:pPr>
        <w:pStyle w:val="ListParagraph"/>
        <w:numPr>
          <w:ilvl w:val="0"/>
          <w:numId w:val="2"/>
        </w:numPr>
        <w:spacing w:after="80" w:before="0" w:line="300"/>
      </w:pPr>
      <w:r>
        <w:rPr>
          <w:rFonts w:ascii="DM Sans" w:cs="DM Sans" w:eastAsia="DM Sans" w:hAnsi="DM Sans"/>
          <w:color w:val="29261B"/>
          <w:sz w:val="22"/>
          <w:szCs w:val="22"/>
        </w:rPr>
        <w:t xml:space="preserve">Real-time biometric identification in public spaces (narrow law-enforcement exceptions only).</w:t>
      </w:r>
    </w:p>
    <w:p>
      <w:pPr>
        <w:pStyle w:val="ListParagraph"/>
        <w:numPr>
          <w:ilvl w:val="0"/>
          <w:numId w:val="2"/>
        </w:numPr>
        <w:spacing w:after="80" w:before="0" w:line="300"/>
      </w:pPr>
      <w:r>
        <w:rPr>
          <w:rFonts w:ascii="DM Sans" w:cs="DM Sans" w:eastAsia="DM Sans" w:hAnsi="DM Sans"/>
          <w:color w:val="29261B"/>
          <w:sz w:val="22"/>
          <w:szCs w:val="22"/>
        </w:rPr>
        <w:t xml:space="preserve">Untargeted facial-image scraping from the web or CCTV footage.</w:t>
      </w:r>
    </w:p>
    <w:p>
      <w:pPr>
        <w:pStyle w:val="ListParagraph"/>
        <w:numPr>
          <w:ilvl w:val="0"/>
          <w:numId w:val="2"/>
        </w:numPr>
        <w:spacing w:after="80" w:before="0" w:line="300"/>
      </w:pPr>
      <w:r>
        <w:rPr>
          <w:rFonts w:ascii="DM Sans" w:cs="DM Sans" w:eastAsia="DM Sans" w:hAnsi="DM Sans"/>
          <w:color w:val="29261B"/>
          <w:sz w:val="22"/>
          <w:szCs w:val="22"/>
        </w:rPr>
        <w:t xml:space="preserve">Emotion recognition in workplaces or educational settings (except for medical or safety reasons).</w:t>
      </w:r>
    </w:p>
    <w:p>
      <w:pPr>
        <w:spacing w:after="160" w:before="240" w:line="320"/>
      </w:pPr>
      <w:r>
        <w:rPr>
          <w:rFonts w:ascii="DM Sans" w:cs="DM Sans" w:eastAsia="DM Sans" w:hAnsi="DM Sans"/>
          <w:color w:val="29261B"/>
          <w:sz w:val="22"/>
          <w:szCs w:val="22"/>
        </w:rPr>
        <w:t xml:space="preserve">Add any additional restrictions specific to this practice:</w:t>
      </w:r>
    </w:p>
    <w:p>
      <w:pPr>
        <w:spacing w:after="80" w:before="0"/>
      </w:pPr>
      <w:r>
        <w:rPr>
          <w:rFonts w:ascii="DM Mono" w:cs="DM Mono" w:eastAsia="DM Mono" w:hAnsi="DM Mono"/>
          <w:color w:val="9A9384"/>
          <w:spacing w:val="50"/>
          <w:sz w:val="14"/>
          <w:szCs w:val="14"/>
        </w:rPr>
        <w:t xml:space="preserve">WE DO NOT USE AI TO...</w:t>
      </w:r>
    </w:p>
    <w:p>
      <w:pPr>
        <w:pBdr>
          <w:bottom w:val="single" w:color="E3DDD0" w:sz="4" w:space="6"/>
        </w:pBdr>
        <w:spacing w:after="240" w:before="0"/>
      </w:pPr>
      <w:r>
        <w:rPr>
          <w:rFonts w:ascii="DM Sans" w:cs="DM Sans" w:eastAsia="DM Sans" w:hAnsi="DM Sans"/>
          <w:i/>
          <w:iCs/>
          <w:color w:val="6B6657"/>
          <w:sz w:val="22"/>
          <w:szCs w:val="22"/>
        </w:rPr>
        <w:t xml:space="preserve">e.g. make hiring decisions about real candidates, generate content without human review, process unredacted personal data</w:t>
      </w:r>
    </w:p>
    <w:p>
      <w:pPr>
        <w:pBdr>
          <w:bottom w:val="single" w:color="E3DDD0" w:sz="4" w:space="6"/>
        </w:pBdr>
        <w:spacing w:after="240" w:before="0"/>
      </w:pPr>
      <w:r>
        <w:rPr>
          <w:rFonts w:ascii="DM Sans" w:cs="DM Sans" w:eastAsia="DM Sans" w:hAnsi="DM Sans"/>
          <w:i w:val="false"/>
          <w:iCs w:val="false"/>
          <w:color w:val="6B6657"/>
          <w:sz w:val="22"/>
          <w:szCs w:val="22"/>
        </w:rPr>
        <w:t xml:space="preserve"> </w:t>
      </w:r>
    </w:p>
    <w:p>
      <w:pPr>
        <w:pBdr>
          <w:bottom w:val="single" w:color="E3DDD0" w:sz="4" w:space="6"/>
        </w:pBdr>
        <w:spacing w:after="240" w:before="0"/>
      </w:pPr>
      <w:r>
        <w:rPr>
          <w:rFonts w:ascii="DM Sans" w:cs="DM Sans" w:eastAsia="DM Sans" w:hAnsi="DM Sans"/>
          <w:i w:val="false"/>
          <w:iCs w:val="false"/>
          <w:color w:val="6B6657"/>
          <w:sz w:val="22"/>
          <w:szCs w:val="22"/>
        </w:rPr>
        <w:t xml:space="preserve"> </w:t>
      </w:r>
    </w:p>
    <w:p>
      <w:pPr>
        <w:spacing w:after="80" w:before="480"/>
      </w:pPr>
      <w:r>
        <w:rPr>
          <w:rFonts w:ascii="DM Mono" w:cs="DM Mono" w:eastAsia="DM Mono" w:hAnsi="DM Mono"/>
          <w:color w:val="6B6657"/>
          <w:spacing w:val="60"/>
          <w:sz w:val="16"/>
          <w:szCs w:val="16"/>
        </w:rPr>
        <w:t xml:space="preserve">05</w:t>
      </w:r>
      <w:r>
        <w:rPr>
          <w:rFonts w:ascii="DM Mono" w:cs="DM Mono" w:eastAsia="DM Mono" w:hAnsi="DM Mono"/>
          <w:color w:val="9A9384"/>
          <w:sz w:val="16"/>
          <w:szCs w:val="16"/>
        </w:rPr>
        <w:t xml:space="preserve">  ·  </w:t>
      </w:r>
      <w:r>
        <w:rPr>
          <w:rFonts w:ascii="DM Mono" w:cs="DM Mono" w:eastAsia="DM Mono" w:hAnsi="DM Mono"/>
          <w:color w:val="6B6657"/>
          <w:spacing w:val="60"/>
          <w:sz w:val="16"/>
          <w:szCs w:val="16"/>
        </w:rPr>
        <w:t xml:space="preserve">DISCLOSURE</w:t>
      </w:r>
    </w:p>
    <w:p>
      <w:pPr>
        <w:spacing w:after="240" w:before="0"/>
      </w:pPr>
      <w:r>
        <w:rPr>
          <w:rFonts w:ascii="Cormorant Garamond" w:cs="Cormorant Garamond" w:eastAsia="Cormorant Garamond" w:hAnsi="Cormorant Garamond"/>
          <w:color w:val="29261B"/>
          <w:sz w:val="36"/>
          <w:szCs w:val="36"/>
        </w:rPr>
        <w:t xml:space="preserve">What clients are told, and how.</w:t>
      </w:r>
    </w:p>
    <w:p>
      <w:pPr>
        <w:spacing w:after="160" w:before="0" w:line="320"/>
      </w:pPr>
      <w:r>
        <w:rPr>
          <w:rFonts w:ascii="DM Sans" w:cs="DM Sans" w:eastAsia="DM Sans" w:hAnsi="DM Sans"/>
          <w:color w:val="29261B"/>
          <w:sz w:val="22"/>
          <w:szCs w:val="22"/>
        </w:rPr>
        <w:t xml:space="preserve">Article 50 of the EU AI Act requires that people know when they are interacting with AI, and that AI-generated content is identifiable. For a small practice, this lands in three places:</w:t>
      </w:r>
    </w:p>
    <w:p>
      <w:pPr>
        <w:pStyle w:val="ListParagraph"/>
        <w:numPr>
          <w:ilvl w:val="0"/>
          <w:numId w:val="2"/>
        </w:numPr>
        <w:spacing w:after="80" w:before="0" w:line="300"/>
      </w:pPr>
      <w:r>
        <w:rPr>
          <w:rFonts w:ascii="DM Sans" w:cs="DM Sans" w:eastAsia="DM Sans" w:hAnsi="DM Sans"/>
          <w:color w:val="29261B"/>
          <w:sz w:val="22"/>
          <w:szCs w:val="22"/>
        </w:rPr>
        <w:t xml:space="preserve">Any chatbot or automated assistant on our website or in client tools carries a clear disclosure that the user is talking to an AI.</w:t>
      </w:r>
    </w:p>
    <w:p>
      <w:pPr>
        <w:pStyle w:val="ListParagraph"/>
        <w:numPr>
          <w:ilvl w:val="0"/>
          <w:numId w:val="2"/>
        </w:numPr>
        <w:spacing w:after="80" w:before="0" w:line="300"/>
      </w:pPr>
      <w:r>
        <w:rPr>
          <w:rFonts w:ascii="DM Sans" w:cs="DM Sans" w:eastAsia="DM Sans" w:hAnsi="DM Sans"/>
          <w:color w:val="29261B"/>
          <w:sz w:val="22"/>
          <w:szCs w:val="22"/>
        </w:rPr>
        <w:t xml:space="preserve">Any AI-generated images, video, or written content published in our marketing or client deliverables is flagged in a caption, credit, or metadata.</w:t>
      </w:r>
    </w:p>
    <w:p>
      <w:pPr>
        <w:pStyle w:val="ListParagraph"/>
        <w:numPr>
          <w:ilvl w:val="0"/>
          <w:numId w:val="2"/>
        </w:numPr>
        <w:spacing w:after="80" w:before="0" w:line="300"/>
      </w:pPr>
      <w:r>
        <w:rPr>
          <w:rFonts w:ascii="DM Sans" w:cs="DM Sans" w:eastAsia="DM Sans" w:hAnsi="DM Sans"/>
          <w:color w:val="29261B"/>
          <w:sz w:val="22"/>
          <w:szCs w:val="22"/>
        </w:rPr>
        <w:t xml:space="preserve">Deepfakes (synthetic content depicting real people, places, or events) are clearly labelled as such.</w:t>
      </w:r>
    </w:p>
    <w:p>
      <w:pPr>
        <w:spacing w:after="160" w:before="240" w:line="320"/>
      </w:pPr>
      <w:r>
        <w:rPr>
          <w:rFonts w:ascii="DM Sans" w:cs="DM Sans" w:eastAsia="DM Sans" w:hAnsi="DM Sans"/>
          <w:color w:val="29261B"/>
          <w:sz w:val="22"/>
          <w:szCs w:val="22"/>
        </w:rPr>
        <w:t xml:space="preserve">Note any additional disclosure practices specific to your client work:</w:t>
      </w:r>
    </w:p>
    <w:p>
      <w:pPr>
        <w:spacing w:after="80" w:before="0"/>
      </w:pPr>
      <w:r>
        <w:rPr>
          <w:rFonts w:ascii="DM Mono" w:cs="DM Mono" w:eastAsia="DM Mono" w:hAnsi="DM Mono"/>
          <w:color w:val="9A9384"/>
          <w:spacing w:val="50"/>
          <w:sz w:val="14"/>
          <w:szCs w:val="14"/>
        </w:rPr>
        <w:t xml:space="preserve">ADDITIONAL DISCLOSURE PRACTICES</w:t>
      </w:r>
    </w:p>
    <w:p>
      <w:pPr>
        <w:pBdr>
          <w:bottom w:val="single" w:color="E3DDD0" w:sz="4" w:space="6"/>
        </w:pBdr>
        <w:spacing w:after="240" w:before="0"/>
      </w:pPr>
      <w:r>
        <w:rPr>
          <w:rFonts w:ascii="DM Sans" w:cs="DM Sans" w:eastAsia="DM Sans" w:hAnsi="DM Sans"/>
          <w:i w:val="false"/>
          <w:iCs w:val="false"/>
          <w:color w:val="6B6657"/>
          <w:sz w:val="22"/>
          <w:szCs w:val="22"/>
        </w:rPr>
        <w:t xml:space="preserve"> </w:t>
      </w:r>
    </w:p>
    <w:p>
      <w:pPr>
        <w:pBdr>
          <w:bottom w:val="single" w:color="E3DDD0" w:sz="4" w:space="6"/>
        </w:pBdr>
        <w:spacing w:after="240" w:before="0"/>
      </w:pPr>
      <w:r>
        <w:rPr>
          <w:rFonts w:ascii="DM Sans" w:cs="DM Sans" w:eastAsia="DM Sans" w:hAnsi="DM Sans"/>
          <w:i w:val="false"/>
          <w:iCs w:val="false"/>
          <w:color w:val="6B6657"/>
          <w:sz w:val="22"/>
          <w:szCs w:val="22"/>
        </w:rPr>
        <w:t xml:space="preserve"> </w:t>
      </w:r>
    </w:p>
    <w:p>
      <w:pPr>
        <w:spacing w:after="80" w:before="480"/>
      </w:pPr>
      <w:r>
        <w:rPr>
          <w:rFonts w:ascii="DM Mono" w:cs="DM Mono" w:eastAsia="DM Mono" w:hAnsi="DM Mono"/>
          <w:color w:val="6B6657"/>
          <w:spacing w:val="60"/>
          <w:sz w:val="16"/>
          <w:szCs w:val="16"/>
        </w:rPr>
        <w:t xml:space="preserve">06</w:t>
      </w:r>
      <w:r>
        <w:rPr>
          <w:rFonts w:ascii="DM Mono" w:cs="DM Mono" w:eastAsia="DM Mono" w:hAnsi="DM Mono"/>
          <w:color w:val="9A9384"/>
          <w:sz w:val="16"/>
          <w:szCs w:val="16"/>
        </w:rPr>
        <w:t xml:space="preserve">  ·  </w:t>
      </w:r>
      <w:r>
        <w:rPr>
          <w:rFonts w:ascii="DM Mono" w:cs="DM Mono" w:eastAsia="DM Mono" w:hAnsi="DM Mono"/>
          <w:color w:val="6B6657"/>
          <w:spacing w:val="60"/>
          <w:sz w:val="16"/>
          <w:szCs w:val="16"/>
        </w:rPr>
        <w:t xml:space="preserve">VENDOR</w:t>
      </w:r>
    </w:p>
    <w:p>
      <w:pPr>
        <w:spacing w:after="240" w:before="0"/>
      </w:pPr>
      <w:r>
        <w:rPr>
          <w:rFonts w:ascii="Cormorant Garamond" w:cs="Cormorant Garamond" w:eastAsia="Cormorant Garamond" w:hAnsi="Cormorant Garamond"/>
          <w:color w:val="29261B"/>
          <w:sz w:val="36"/>
          <w:szCs w:val="36"/>
        </w:rPr>
        <w:t xml:space="preserve">Due diligence on the providers we use.</w:t>
      </w:r>
    </w:p>
    <w:p>
      <w:pPr>
        <w:spacing w:after="160" w:before="0" w:line="320"/>
      </w:pPr>
      <w:r>
        <w:rPr>
          <w:rFonts w:ascii="DM Sans" w:cs="DM Sans" w:eastAsia="DM Sans" w:hAnsi="DM Sans"/>
          <w:color w:val="29261B"/>
          <w:sz w:val="22"/>
          <w:szCs w:val="22"/>
        </w:rPr>
        <w:t xml:space="preserve">For each AI tool in the inventory above, confirm the following. Update at each quarterly review.</w:t>
      </w:r>
    </w:p>
    <w:p>
      <w:pPr>
        <w:pStyle w:val="ListParagraph"/>
        <w:numPr>
          <w:ilvl w:val="0"/>
          <w:numId w:val="2"/>
        </w:numPr>
        <w:spacing w:after="80" w:before="0" w:line="300"/>
      </w:pPr>
      <w:r>
        <w:rPr>
          <w:rFonts w:ascii="DM Sans" w:cs="DM Sans" w:eastAsia="DM Sans" w:hAnsi="DM Sans"/>
          <w:color w:val="29261B"/>
          <w:sz w:val="22"/>
          <w:szCs w:val="22"/>
        </w:rPr>
        <w:t xml:space="preserve">Vendor documentation reviewed: privacy policy, data processing terms, training opt-out.</w:t>
      </w:r>
    </w:p>
    <w:p>
      <w:pPr>
        <w:pStyle w:val="ListParagraph"/>
        <w:numPr>
          <w:ilvl w:val="0"/>
          <w:numId w:val="2"/>
        </w:numPr>
        <w:spacing w:after="80" w:before="0" w:line="300"/>
      </w:pPr>
      <w:r>
        <w:rPr>
          <w:rFonts w:ascii="DM Sans" w:cs="DM Sans" w:eastAsia="DM Sans" w:hAnsi="DM Sans"/>
          <w:color w:val="29261B"/>
          <w:sz w:val="22"/>
          <w:szCs w:val="22"/>
        </w:rPr>
        <w:t xml:space="preserve">Article 13 transparency information retained where the provider supplies it. This is the information about the system's intended purpose, capabilities, limitations, and known risks that providers of high-risk AI are required to give to deployers. Lower-tier AI providers increasingly publish equivalent information voluntarily; retain a copy in your records where available.</w:t>
      </w:r>
    </w:p>
    <w:p>
      <w:pPr>
        <w:pStyle w:val="ListParagraph"/>
        <w:numPr>
          <w:ilvl w:val="0"/>
          <w:numId w:val="2"/>
        </w:numPr>
        <w:spacing w:after="80" w:before="0" w:line="300"/>
      </w:pPr>
      <w:r>
        <w:rPr>
          <w:rFonts w:ascii="DM Sans" w:cs="DM Sans" w:eastAsia="DM Sans" w:hAnsi="DM Sans"/>
          <w:color w:val="29261B"/>
          <w:sz w:val="22"/>
          <w:szCs w:val="22"/>
        </w:rPr>
        <w:t xml:space="preserve">Data residency confirmed and recorded in the inventory.</w:t>
      </w:r>
    </w:p>
    <w:p>
      <w:pPr>
        <w:pStyle w:val="ListParagraph"/>
        <w:numPr>
          <w:ilvl w:val="0"/>
          <w:numId w:val="2"/>
        </w:numPr>
        <w:spacing w:after="80" w:before="0" w:line="300"/>
      </w:pPr>
      <w:r>
        <w:rPr>
          <w:rFonts w:ascii="DM Sans" w:cs="DM Sans" w:eastAsia="DM Sans" w:hAnsi="DM Sans"/>
          <w:color w:val="29261B"/>
          <w:sz w:val="22"/>
          <w:szCs w:val="22"/>
        </w:rPr>
        <w:t xml:space="preserve">Where the provider is US-based, considered whether EU-residency alternatives exist for the work in question.</w:t>
      </w:r>
    </w:p>
    <w:p>
      <w:pPr>
        <w:pStyle w:val="ListParagraph"/>
        <w:numPr>
          <w:ilvl w:val="0"/>
          <w:numId w:val="2"/>
        </w:numPr>
        <w:spacing w:after="80" w:before="0" w:line="300"/>
      </w:pPr>
      <w:r>
        <w:rPr>
          <w:rFonts w:ascii="DM Sans" w:cs="DM Sans" w:eastAsia="DM Sans" w:hAnsi="DM Sans"/>
          <w:color w:val="29261B"/>
          <w:sz w:val="22"/>
          <w:szCs w:val="22"/>
        </w:rPr>
        <w:t xml:space="preserve">Where the tool processes client data, ensured the client has been informed via the engagement agreement.</w:t>
      </w:r>
    </w:p>
    <w:p>
      <w:pPr>
        <w:spacing w:after="80" w:before="0"/>
      </w:pPr>
      <w:r>
        <w:rPr>
          <w:rFonts w:ascii="DM Mono" w:cs="DM Mono" w:eastAsia="DM Mono" w:hAnsi="DM Mono"/>
          <w:color w:val="9A9384"/>
          <w:spacing w:val="50"/>
          <w:sz w:val="14"/>
          <w:szCs w:val="14"/>
        </w:rPr>
        <w:t xml:space="preserve">DATE OF LAST VENDOR REVIEW</w:t>
      </w:r>
    </w:p>
    <w:p>
      <w:pPr>
        <w:pBdr>
          <w:bottom w:val="single" w:color="E3DDD0" w:sz="4" w:space="6"/>
        </w:pBdr>
        <w:spacing w:after="240" w:before="0"/>
      </w:pPr>
      <w:r>
        <w:rPr>
          <w:rFonts w:ascii="DM Sans" w:cs="DM Sans" w:eastAsia="DM Sans" w:hAnsi="DM Sans"/>
          <w:i w:val="false"/>
          <w:iCs w:val="false"/>
          <w:color w:val="6B6657"/>
          <w:sz w:val="22"/>
          <w:szCs w:val="22"/>
        </w:rPr>
        <w:t xml:space="preserve"> </w:t>
      </w:r>
    </w:p>
    <w:p>
      <w:pPr>
        <w:spacing w:after="80" w:before="480"/>
      </w:pPr>
      <w:r>
        <w:rPr>
          <w:rFonts w:ascii="DM Mono" w:cs="DM Mono" w:eastAsia="DM Mono" w:hAnsi="DM Mono"/>
          <w:color w:val="6B6657"/>
          <w:spacing w:val="60"/>
          <w:sz w:val="16"/>
          <w:szCs w:val="16"/>
        </w:rPr>
        <w:t xml:space="preserve">07</w:t>
      </w:r>
      <w:r>
        <w:rPr>
          <w:rFonts w:ascii="DM Mono" w:cs="DM Mono" w:eastAsia="DM Mono" w:hAnsi="DM Mono"/>
          <w:color w:val="9A9384"/>
          <w:sz w:val="16"/>
          <w:szCs w:val="16"/>
        </w:rPr>
        <w:t xml:space="preserve">  ·  </w:t>
      </w:r>
      <w:r>
        <w:rPr>
          <w:rFonts w:ascii="DM Mono" w:cs="DM Mono" w:eastAsia="DM Mono" w:hAnsi="DM Mono"/>
          <w:color w:val="6B6657"/>
          <w:spacing w:val="60"/>
          <w:sz w:val="16"/>
          <w:szCs w:val="16"/>
        </w:rPr>
        <w:t xml:space="preserve">GDPR OVERLAP</w:t>
      </w:r>
    </w:p>
    <w:p>
      <w:pPr>
        <w:spacing w:after="240" w:before="0"/>
      </w:pPr>
      <w:r>
        <w:rPr>
          <w:rFonts w:ascii="Cormorant Garamond" w:cs="Cormorant Garamond" w:eastAsia="Cormorant Garamond" w:hAnsi="Cormorant Garamond"/>
          <w:color w:val="29261B"/>
          <w:sz w:val="36"/>
          <w:szCs w:val="36"/>
        </w:rPr>
        <w:t xml:space="preserve">Where the AI Act sits alongside data protection.</w:t>
      </w:r>
    </w:p>
    <w:p>
      <w:pPr>
        <w:spacing w:after="160" w:before="0" w:line="320"/>
      </w:pPr>
      <w:r>
        <w:rPr>
          <w:rFonts w:ascii="DM Sans" w:cs="DM Sans" w:eastAsia="DM Sans" w:hAnsi="DM Sans"/>
          <w:color w:val="29261B"/>
          <w:sz w:val="22"/>
          <w:szCs w:val="22"/>
        </w:rPr>
        <w:t xml:space="preserve">The EU AI Act does not replace the General Data Protection Regulation (GDPR). It sits alongside it. Where an AI tool processes personal data (including client information, employee data, or website visitor data), GDPR obligations apply in addition to the AI Act:</w:t>
      </w:r>
    </w:p>
    <w:p>
      <w:pPr>
        <w:pStyle w:val="ListParagraph"/>
        <w:numPr>
          <w:ilvl w:val="0"/>
          <w:numId w:val="2"/>
        </w:numPr>
        <w:spacing w:after="80" w:before="0" w:line="300"/>
      </w:pPr>
      <w:r>
        <w:rPr>
          <w:rFonts w:ascii="DM Sans" w:cs="DM Sans" w:eastAsia="DM Sans" w:hAnsi="DM Sans"/>
          <w:color w:val="29261B"/>
          <w:sz w:val="22"/>
          <w:szCs w:val="22"/>
        </w:rPr>
        <w:t xml:space="preserve">Lawful basis (GDPR Article 6) for each processing activity involving personal data.</w:t>
      </w:r>
    </w:p>
    <w:p>
      <w:pPr>
        <w:pStyle w:val="ListParagraph"/>
        <w:numPr>
          <w:ilvl w:val="0"/>
          <w:numId w:val="2"/>
        </w:numPr>
        <w:spacing w:after="80" w:before="0" w:line="300"/>
      </w:pPr>
      <w:r>
        <w:rPr>
          <w:rFonts w:ascii="DM Sans" w:cs="DM Sans" w:eastAsia="DM Sans" w:hAnsi="DM Sans"/>
          <w:color w:val="29261B"/>
          <w:sz w:val="22"/>
          <w:szCs w:val="22"/>
        </w:rPr>
        <w:t xml:space="preserve">Record of processing activities (GDPR Article 30) covering each AI tool that processes personal data.</w:t>
      </w:r>
    </w:p>
    <w:p>
      <w:pPr>
        <w:pStyle w:val="ListParagraph"/>
        <w:numPr>
          <w:ilvl w:val="0"/>
          <w:numId w:val="2"/>
        </w:numPr>
        <w:spacing w:after="80" w:before="0" w:line="300"/>
      </w:pPr>
      <w:r>
        <w:rPr>
          <w:rFonts w:ascii="DM Sans" w:cs="DM Sans" w:eastAsia="DM Sans" w:hAnsi="DM Sans"/>
          <w:color w:val="29261B"/>
          <w:sz w:val="22"/>
          <w:szCs w:val="22"/>
        </w:rPr>
        <w:t xml:space="preserve">Data Protection Impact Assessment (GDPR Article 35) for processing likely to result in high risk to data subjects. This is often triggered by AI use cases involving automated decision-making, large-scale processing, or vulnerable groups.</w:t>
      </w:r>
    </w:p>
    <w:p>
      <w:pPr>
        <w:pStyle w:val="ListParagraph"/>
        <w:numPr>
          <w:ilvl w:val="0"/>
          <w:numId w:val="2"/>
        </w:numPr>
        <w:spacing w:after="80" w:before="0" w:line="300"/>
      </w:pPr>
      <w:r>
        <w:rPr>
          <w:rFonts w:ascii="DM Sans" w:cs="DM Sans" w:eastAsia="DM Sans" w:hAnsi="DM Sans"/>
          <w:color w:val="29261B"/>
          <w:sz w:val="22"/>
          <w:szCs w:val="22"/>
        </w:rPr>
        <w:t xml:space="preserve">Transparency to data subjects (GDPR Articles 13-14) about how AI is used to process their personal data.</w:t>
      </w:r>
    </w:p>
    <w:p>
      <w:pPr>
        <w:pStyle w:val="ListParagraph"/>
        <w:numPr>
          <w:ilvl w:val="0"/>
          <w:numId w:val="2"/>
        </w:numPr>
        <w:spacing w:after="80" w:before="0" w:line="300"/>
      </w:pPr>
      <w:r>
        <w:rPr>
          <w:rFonts w:ascii="DM Sans" w:cs="DM Sans" w:eastAsia="DM Sans" w:hAnsi="DM Sans"/>
          <w:color w:val="29261B"/>
          <w:sz w:val="22"/>
          <w:szCs w:val="22"/>
        </w:rPr>
        <w:t xml:space="preserve">Data subject rights (GDPR Articles 15-22), including the right to information about automated decision-making under Article 22.</w:t>
      </w:r>
    </w:p>
    <w:p>
      <w:pPr>
        <w:spacing w:after="160" w:before="240" w:line="320"/>
      </w:pPr>
      <w:r>
        <w:rPr>
          <w:rFonts w:ascii="DM Sans" w:cs="DM Sans" w:eastAsia="DM Sans" w:hAnsi="DM Sans"/>
          <w:color w:val="29261B"/>
          <w:sz w:val="22"/>
          <w:szCs w:val="22"/>
        </w:rPr>
        <w:t xml:space="preserve">Meeting AI Act obligations does not on its own satisfy GDPR. Where the two regimes overlap, the stricter obligation applies. Where you have not previously addressed GDPR for AI-related processing, do so now or with appropriate advice.</w:t>
      </w:r>
    </w:p>
    <w:p>
      <w:pPr>
        <w:spacing w:after="80" w:before="480"/>
      </w:pPr>
      <w:r>
        <w:rPr>
          <w:rFonts w:ascii="DM Mono" w:cs="DM Mono" w:eastAsia="DM Mono" w:hAnsi="DM Mono"/>
          <w:color w:val="6B6657"/>
          <w:spacing w:val="60"/>
          <w:sz w:val="16"/>
          <w:szCs w:val="16"/>
        </w:rPr>
        <w:t xml:space="preserve">08</w:t>
      </w:r>
      <w:r>
        <w:rPr>
          <w:rFonts w:ascii="DM Mono" w:cs="DM Mono" w:eastAsia="DM Mono" w:hAnsi="DM Mono"/>
          <w:color w:val="9A9384"/>
          <w:sz w:val="16"/>
          <w:szCs w:val="16"/>
        </w:rPr>
        <w:t xml:space="preserve">  ·  </w:t>
      </w:r>
      <w:r>
        <w:rPr>
          <w:rFonts w:ascii="DM Mono" w:cs="DM Mono" w:eastAsia="DM Mono" w:hAnsi="DM Mono"/>
          <w:color w:val="6B6657"/>
          <w:spacing w:val="60"/>
          <w:sz w:val="16"/>
          <w:szCs w:val="16"/>
        </w:rPr>
        <w:t xml:space="preserve">LITERACY</w:t>
      </w:r>
    </w:p>
    <w:p>
      <w:pPr>
        <w:spacing w:after="240" w:before="0"/>
      </w:pPr>
      <w:r>
        <w:rPr>
          <w:rFonts w:ascii="Cormorant Garamond" w:cs="Cormorant Garamond" w:eastAsia="Cormorant Garamond" w:hAnsi="Cormorant Garamond"/>
          <w:color w:val="29261B"/>
          <w:sz w:val="36"/>
          <w:szCs w:val="36"/>
        </w:rPr>
        <w:t xml:space="preserve">What people using AI on our behalf understand.</w:t>
      </w:r>
    </w:p>
    <w:p>
      <w:pPr>
        <w:spacing w:after="160" w:before="0" w:line="320"/>
      </w:pPr>
      <w:r>
        <w:rPr>
          <w:rFonts w:ascii="DM Sans" w:cs="DM Sans" w:eastAsia="DM Sans" w:hAnsi="DM Sans"/>
          <w:color w:val="29261B"/>
          <w:sz w:val="22"/>
          <w:szCs w:val="22"/>
        </w:rPr>
        <w:t xml:space="preserve">Article 4 of the EU AI Act requires that everyone using AI in a professional capacity has a sufficient level of AI literacy, appropriate to their role. For a small practice, this means each person using AI on the practice's behalf has read and understood this policy, and is aware of:</w:t>
      </w:r>
    </w:p>
    <w:p>
      <w:pPr>
        <w:pStyle w:val="ListParagraph"/>
        <w:numPr>
          <w:ilvl w:val="0"/>
          <w:numId w:val="2"/>
        </w:numPr>
        <w:spacing w:after="80" w:before="0" w:line="300"/>
      </w:pPr>
      <w:r>
        <w:rPr>
          <w:rFonts w:ascii="DM Sans" w:cs="DM Sans" w:eastAsia="DM Sans" w:hAnsi="DM Sans"/>
          <w:color w:val="29261B"/>
          <w:sz w:val="22"/>
          <w:szCs w:val="22"/>
        </w:rPr>
        <w:t xml:space="preserve">Which tools are permitted and which are not.</w:t>
      </w:r>
    </w:p>
    <w:p>
      <w:pPr>
        <w:pStyle w:val="ListParagraph"/>
        <w:numPr>
          <w:ilvl w:val="0"/>
          <w:numId w:val="2"/>
        </w:numPr>
        <w:spacing w:after="80" w:before="0" w:line="300"/>
      </w:pPr>
      <w:r>
        <w:rPr>
          <w:rFonts w:ascii="DM Sans" w:cs="DM Sans" w:eastAsia="DM Sans" w:hAnsi="DM Sans"/>
          <w:color w:val="29261B"/>
          <w:sz w:val="22"/>
          <w:szCs w:val="22"/>
        </w:rPr>
        <w:t xml:space="preserve">What kinds of data can and cannot be entered into AI tools.</w:t>
      </w:r>
    </w:p>
    <w:p>
      <w:pPr>
        <w:pStyle w:val="ListParagraph"/>
        <w:numPr>
          <w:ilvl w:val="0"/>
          <w:numId w:val="2"/>
        </w:numPr>
        <w:spacing w:after="80" w:before="0" w:line="300"/>
      </w:pPr>
      <w:r>
        <w:rPr>
          <w:rFonts w:ascii="DM Sans" w:cs="DM Sans" w:eastAsia="DM Sans" w:hAnsi="DM Sans"/>
          <w:color w:val="29261B"/>
          <w:sz w:val="22"/>
          <w:szCs w:val="22"/>
        </w:rPr>
        <w:t xml:space="preserve">When AI output requires human review before reaching a client.</w:t>
      </w:r>
    </w:p>
    <w:p>
      <w:pPr>
        <w:pStyle w:val="ListParagraph"/>
        <w:numPr>
          <w:ilvl w:val="0"/>
          <w:numId w:val="2"/>
        </w:numPr>
        <w:spacing w:after="80" w:before="0" w:line="300"/>
      </w:pPr>
      <w:r>
        <w:rPr>
          <w:rFonts w:ascii="DM Sans" w:cs="DM Sans" w:eastAsia="DM Sans" w:hAnsi="DM Sans"/>
          <w:color w:val="29261B"/>
          <w:sz w:val="22"/>
          <w:szCs w:val="22"/>
        </w:rPr>
        <w:t xml:space="preserve">How to disclose AI use where required.</w:t>
      </w:r>
    </w:p>
    <w:p>
      <w:pPr>
        <w:pStyle w:val="ListParagraph"/>
        <w:numPr>
          <w:ilvl w:val="0"/>
          <w:numId w:val="2"/>
        </w:numPr>
        <w:spacing w:after="80" w:before="0" w:line="300"/>
      </w:pPr>
      <w:r>
        <w:rPr>
          <w:rFonts w:ascii="DM Sans" w:cs="DM Sans" w:eastAsia="DM Sans" w:hAnsi="DM Sans"/>
          <w:color w:val="29261B"/>
          <w:sz w:val="22"/>
          <w:szCs w:val="22"/>
        </w:rPr>
        <w:t xml:space="preserve">Who to escalate to if something looks wrong.</w:t>
      </w:r>
    </w:p>
    <w:p>
      <w:pPr>
        <w:spacing w:after="160" w:before="240" w:line="320"/>
      </w:pPr>
      <w:r>
        <w:rPr>
          <w:rFonts w:ascii="DM Sans" w:cs="DM Sans" w:eastAsia="DM Sans" w:hAnsi="DM Sans"/>
          <w:color w:val="29261B"/>
          <w:sz w:val="22"/>
          <w:szCs w:val="22"/>
        </w:rPr>
        <w:t xml:space="preserve">Anyone using AI on behalf of this practice (employees, contractors, associates, freelancers) acknowledges this policy in Section 11.</w:t>
      </w:r>
    </w:p>
    <w:p>
      <w:pPr>
        <w:spacing w:after="80" w:before="480"/>
      </w:pPr>
      <w:r>
        <w:rPr>
          <w:rFonts w:ascii="DM Mono" w:cs="DM Mono" w:eastAsia="DM Mono" w:hAnsi="DM Mono"/>
          <w:color w:val="6B6657"/>
          <w:spacing w:val="60"/>
          <w:sz w:val="16"/>
          <w:szCs w:val="16"/>
        </w:rPr>
        <w:t xml:space="preserve">09</w:t>
      </w:r>
      <w:r>
        <w:rPr>
          <w:rFonts w:ascii="DM Mono" w:cs="DM Mono" w:eastAsia="DM Mono" w:hAnsi="DM Mono"/>
          <w:color w:val="9A9384"/>
          <w:sz w:val="16"/>
          <w:szCs w:val="16"/>
        </w:rPr>
        <w:t xml:space="preserve">  ·  </w:t>
      </w:r>
      <w:r>
        <w:rPr>
          <w:rFonts w:ascii="DM Mono" w:cs="DM Mono" w:eastAsia="DM Mono" w:hAnsi="DM Mono"/>
          <w:color w:val="6B6657"/>
          <w:spacing w:val="60"/>
          <w:sz w:val="16"/>
          <w:szCs w:val="16"/>
        </w:rPr>
        <w:t xml:space="preserve">INCIDENT RESPONSE</w:t>
      </w:r>
    </w:p>
    <w:p>
      <w:pPr>
        <w:spacing w:after="240" w:before="0"/>
      </w:pPr>
      <w:r>
        <w:rPr>
          <w:rFonts w:ascii="Cormorant Garamond" w:cs="Cormorant Garamond" w:eastAsia="Cormorant Garamond" w:hAnsi="Cormorant Garamond"/>
          <w:color w:val="29261B"/>
          <w:sz w:val="36"/>
          <w:szCs w:val="36"/>
        </w:rPr>
        <w:t xml:space="preserve">If something goes wrong.</w:t>
      </w:r>
    </w:p>
    <w:p>
      <w:pPr>
        <w:spacing w:after="160" w:before="0" w:line="320"/>
      </w:pPr>
      <w:r>
        <w:rPr>
          <w:rFonts w:ascii="DM Sans" w:cs="DM Sans" w:eastAsia="DM Sans" w:hAnsi="DM Sans"/>
          <w:color w:val="29261B"/>
          <w:sz w:val="22"/>
          <w:szCs w:val="22"/>
        </w:rPr>
        <w:t xml:space="preserve">If an AI tool used in this practice produces a serious incorrect, harmful, or unexpected output, the following steps apply:</w:t>
      </w:r>
    </w:p>
    <w:p>
      <w:pPr>
        <w:pStyle w:val="ListParagraph"/>
        <w:numPr>
          <w:ilvl w:val="0"/>
          <w:numId w:val="2"/>
        </w:numPr>
        <w:spacing w:after="80" w:before="0" w:line="300"/>
      </w:pPr>
      <w:r>
        <w:rPr>
          <w:rFonts w:ascii="DM Sans" w:cs="DM Sans" w:eastAsia="DM Sans" w:hAnsi="DM Sans"/>
          <w:color w:val="29261B"/>
          <w:sz w:val="22"/>
          <w:szCs w:val="22"/>
        </w:rPr>
        <w:t xml:space="preserve">Stop using the tool for the affected activity until reviewed.</w:t>
      </w:r>
    </w:p>
    <w:p>
      <w:pPr>
        <w:pStyle w:val="ListParagraph"/>
        <w:numPr>
          <w:ilvl w:val="0"/>
          <w:numId w:val="2"/>
        </w:numPr>
        <w:spacing w:after="80" w:before="0" w:line="300"/>
      </w:pPr>
      <w:r>
        <w:rPr>
          <w:rFonts w:ascii="DM Sans" w:cs="DM Sans" w:eastAsia="DM Sans" w:hAnsi="DM Sans"/>
          <w:color w:val="29261B"/>
          <w:sz w:val="22"/>
          <w:szCs w:val="22"/>
        </w:rPr>
        <w:t xml:space="preserve">Record what happened: the tool, the input, the output, the time, who was using it, and the consequence.</w:t>
      </w:r>
    </w:p>
    <w:p>
      <w:pPr>
        <w:pStyle w:val="ListParagraph"/>
        <w:numPr>
          <w:ilvl w:val="0"/>
          <w:numId w:val="2"/>
        </w:numPr>
        <w:spacing w:after="80" w:before="0" w:line="300"/>
      </w:pPr>
      <w:r>
        <w:rPr>
          <w:rFonts w:ascii="DM Sans" w:cs="DM Sans" w:eastAsia="DM Sans" w:hAnsi="DM Sans"/>
          <w:color w:val="29261B"/>
          <w:sz w:val="22"/>
          <w:szCs w:val="22"/>
        </w:rPr>
        <w:t xml:space="preserve">If client data was affected, inform the client without undue delay, in line with your engagement terms and GDPR breach notification obligations where applicable.</w:t>
      </w:r>
    </w:p>
    <w:p>
      <w:pPr>
        <w:pStyle w:val="ListParagraph"/>
        <w:numPr>
          <w:ilvl w:val="0"/>
          <w:numId w:val="2"/>
        </w:numPr>
        <w:spacing w:after="80" w:before="0" w:line="300"/>
      </w:pPr>
      <w:r>
        <w:rPr>
          <w:rFonts w:ascii="DM Sans" w:cs="DM Sans" w:eastAsia="DM Sans" w:hAnsi="DM Sans"/>
          <w:color w:val="29261B"/>
          <w:sz w:val="22"/>
          <w:szCs w:val="22"/>
        </w:rPr>
        <w:t xml:space="preserve">If a serious incident occurs involving a high-risk AI system (Annex III), report to the relevant national authority within 15 days under Article 73 of the EU AI Act. See Annex B for the directory of national authorities.</w:t>
      </w:r>
    </w:p>
    <w:p>
      <w:pPr>
        <w:pStyle w:val="ListParagraph"/>
        <w:numPr>
          <w:ilvl w:val="0"/>
          <w:numId w:val="2"/>
        </w:numPr>
        <w:spacing w:after="80" w:before="0" w:line="300"/>
      </w:pPr>
      <w:r>
        <w:rPr>
          <w:rFonts w:ascii="DM Sans" w:cs="DM Sans" w:eastAsia="DM Sans" w:hAnsi="DM Sans"/>
          <w:color w:val="29261B"/>
          <w:sz w:val="22"/>
          <w:szCs w:val="22"/>
        </w:rPr>
        <w:t xml:space="preserve">Inform the AI provider so they can investigate and (if appropriate) update the system.</w:t>
      </w:r>
    </w:p>
    <w:p>
      <w:pPr>
        <w:pStyle w:val="ListParagraph"/>
        <w:numPr>
          <w:ilvl w:val="0"/>
          <w:numId w:val="2"/>
        </w:numPr>
        <w:spacing w:after="80" w:before="0" w:line="300"/>
      </w:pPr>
      <w:r>
        <w:rPr>
          <w:rFonts w:ascii="DM Sans" w:cs="DM Sans" w:eastAsia="DM Sans" w:hAnsi="DM Sans"/>
          <w:color w:val="29261B"/>
          <w:sz w:val="22"/>
          <w:szCs w:val="22"/>
        </w:rPr>
        <w:t xml:space="preserve">Review whether the policy or the inventory needs to be updated as a result.</w:t>
      </w:r>
    </w:p>
    <w:p>
      <w:pPr>
        <w:spacing w:after="80" w:before="0"/>
      </w:pPr>
      <w:r>
        <w:rPr>
          <w:rFonts w:ascii="DM Mono" w:cs="DM Mono" w:eastAsia="DM Mono" w:hAnsi="DM Mono"/>
          <w:color w:val="9A9384"/>
          <w:spacing w:val="50"/>
          <w:sz w:val="14"/>
          <w:szCs w:val="14"/>
        </w:rPr>
        <w:t xml:space="preserve">PERSON RESPONSIBLE FOR INCIDENT RESPONSE</w:t>
      </w:r>
    </w:p>
    <w:p>
      <w:pPr>
        <w:pBdr>
          <w:bottom w:val="single" w:color="E3DDD0" w:sz="4" w:space="6"/>
        </w:pBdr>
        <w:spacing w:after="240" w:before="0"/>
      </w:pPr>
      <w:r>
        <w:rPr>
          <w:rFonts w:ascii="DM Sans" w:cs="DM Sans" w:eastAsia="DM Sans" w:hAnsi="DM Sans"/>
          <w:i w:val="false"/>
          <w:iCs w:val="false"/>
          <w:color w:val="6B6657"/>
          <w:sz w:val="22"/>
          <w:szCs w:val="22"/>
        </w:rPr>
        <w:t xml:space="preserve"> </w:t>
      </w:r>
    </w:p>
    <w:p>
      <w:pPr>
        <w:spacing w:after="80" w:before="480"/>
      </w:pPr>
      <w:r>
        <w:rPr>
          <w:rFonts w:ascii="DM Mono" w:cs="DM Mono" w:eastAsia="DM Mono" w:hAnsi="DM Mono"/>
          <w:color w:val="6B6657"/>
          <w:spacing w:val="60"/>
          <w:sz w:val="16"/>
          <w:szCs w:val="16"/>
        </w:rPr>
        <w:t xml:space="preserve">10</w:t>
      </w:r>
      <w:r>
        <w:rPr>
          <w:rFonts w:ascii="DM Mono" w:cs="DM Mono" w:eastAsia="DM Mono" w:hAnsi="DM Mono"/>
          <w:color w:val="9A9384"/>
          <w:sz w:val="16"/>
          <w:szCs w:val="16"/>
        </w:rPr>
        <w:t xml:space="preserve">  ·  </w:t>
      </w:r>
      <w:r>
        <w:rPr>
          <w:rFonts w:ascii="DM Mono" w:cs="DM Mono" w:eastAsia="DM Mono" w:hAnsi="DM Mono"/>
          <w:color w:val="6B6657"/>
          <w:spacing w:val="60"/>
          <w:sz w:val="16"/>
          <w:szCs w:val="16"/>
        </w:rPr>
        <w:t xml:space="preserve">ACKNOWLEDGEMENT</w:t>
      </w:r>
    </w:p>
    <w:p>
      <w:pPr>
        <w:spacing w:after="240" w:before="0"/>
      </w:pPr>
      <w:r>
        <w:rPr>
          <w:rFonts w:ascii="Cormorant Garamond" w:cs="Cormorant Garamond" w:eastAsia="Cormorant Garamond" w:hAnsi="Cormorant Garamond"/>
          <w:color w:val="29261B"/>
          <w:sz w:val="36"/>
          <w:szCs w:val="36"/>
        </w:rPr>
        <w:t xml:space="preserve">Signed by anyone using AI on our behalf.</w:t>
      </w:r>
    </w:p>
    <w:p>
      <w:pPr>
        <w:spacing w:after="160" w:before="0" w:line="320"/>
      </w:pPr>
      <w:r>
        <w:rPr>
          <w:rFonts w:ascii="DM Sans" w:cs="DM Sans" w:eastAsia="DM Sans" w:hAnsi="DM Sans"/>
          <w:color w:val="29261B"/>
          <w:sz w:val="22"/>
          <w:szCs w:val="22"/>
        </w:rPr>
        <w:t xml:space="preserve">I confirm I have read and understood this AI Use Policy and will follow it when using AI on behalf of </w:t>
      </w:r>
      <w:r>
        <w:rPr>
          <w:rFonts w:ascii="DM Sans" w:cs="DM Sans" w:eastAsia="DM Sans" w:hAnsi="DM Sans"/>
          <w:i/>
          <w:iCs/>
          <w:color w:val="6B6657"/>
          <w:sz w:val="22"/>
          <w:szCs w:val="22"/>
        </w:rPr>
        <w:t xml:space="preserve">[practice name]</w:t>
      </w:r>
      <w:r>
        <w:rPr>
          <w:rFonts w:ascii="DM Sans" w:cs="DM Sans" w:eastAsia="DM Sans" w:hAnsi="DM Sans"/>
          <w:color w:val="29261B"/>
          <w:sz w:val="22"/>
          <w:szCs w:val="22"/>
        </w:rPr>
        <w:t xml:space="preserve">.</w:t>
      </w:r>
    </w:p>
    <w:tbl>
      <w:tblPr>
        <w:tblW w:type="dxa" w:w="9000"/>
        <w:tblBorders>
          <w:top w:val="none" w:color="FFFFFF" w:sz="0"/>
          <w:left w:val="none" w:color="FFFFFF" w:sz="0"/>
          <w:bottom w:val="none" w:color="FFFFFF" w:sz="0"/>
          <w:right w:val="none" w:color="FFFFFF" w:sz="0"/>
          <w:insideH w:val="none" w:color="FFFFFF" w:sz="0"/>
          <w:insideV w:val="none" w:color="FFFFFF" w:sz="0"/>
        </w:tblBorders>
      </w:tblPr>
      <w:tblGrid>
        <w:gridCol w:w="3000"/>
        <w:gridCol w:w="2500"/>
        <w:gridCol w:w="1700"/>
        <w:gridCol w:w="1800"/>
      </w:tblGrid>
      <w:tr>
        <w:tc>
          <w:tcPr>
            <w:tcW w:type="dxa" w:w="3000"/>
            <w:tcBorders>
              <w:top w:val="none" w:color="FFFFFF" w:sz="0"/>
              <w:left w:val="none" w:color="FFFFFF" w:sz="0"/>
              <w:bottom w:val="none" w:color="FFFFFF" w:sz="0"/>
              <w:right w:val="none" w:color="FFFFFF" w:sz="0"/>
            </w:tcBorders>
            <w:tcMar>
              <w:top w:type="dxa" w:w="80"/>
              <w:left w:type="dxa" w:w="0"/>
              <w:bottom w:type="dxa" w:w="60"/>
              <w:right w:type="dxa" w:w="0"/>
            </w:tcMar>
          </w:tcPr>
          <w:p>
            <w:pPr>
              <w:spacing w:after="0"/>
            </w:pPr>
            <w:r>
              <w:rPr>
                <w:rFonts w:ascii="DM Mono" w:cs="DM Mono" w:eastAsia="DM Mono" w:hAnsi="DM Mono"/>
                <w:color w:val="9A9384"/>
                <w:spacing w:val="50"/>
                <w:sz w:val="14"/>
                <w:szCs w:val="14"/>
              </w:rPr>
              <w:t xml:space="preserve">NAME</w:t>
            </w:r>
          </w:p>
        </w:tc>
        <w:tc>
          <w:tcPr>
            <w:tcW w:type="dxa" w:w="2500"/>
            <w:tcBorders>
              <w:top w:val="none" w:color="FFFFFF" w:sz="0"/>
              <w:left w:val="none" w:color="FFFFFF" w:sz="0"/>
              <w:bottom w:val="none" w:color="FFFFFF" w:sz="0"/>
              <w:right w:val="none" w:color="FFFFFF" w:sz="0"/>
            </w:tcBorders>
            <w:tcMar>
              <w:top w:type="dxa" w:w="80"/>
              <w:left w:type="dxa" w:w="0"/>
              <w:bottom w:type="dxa" w:w="60"/>
              <w:right w:type="dxa" w:w="0"/>
            </w:tcMar>
          </w:tcPr>
          <w:p>
            <w:pPr>
              <w:spacing w:after="0"/>
            </w:pPr>
            <w:r>
              <w:rPr>
                <w:rFonts w:ascii="DM Mono" w:cs="DM Mono" w:eastAsia="DM Mono" w:hAnsi="DM Mono"/>
                <w:color w:val="9A9384"/>
                <w:spacing w:val="50"/>
                <w:sz w:val="14"/>
                <w:szCs w:val="14"/>
              </w:rPr>
              <w:t xml:space="preserve">ROLE</w:t>
            </w:r>
          </w:p>
        </w:tc>
        <w:tc>
          <w:tcPr>
            <w:tcW w:type="dxa" w:w="1700"/>
            <w:tcBorders>
              <w:top w:val="none" w:color="FFFFFF" w:sz="0"/>
              <w:left w:val="none" w:color="FFFFFF" w:sz="0"/>
              <w:bottom w:val="none" w:color="FFFFFF" w:sz="0"/>
              <w:right w:val="none" w:color="FFFFFF" w:sz="0"/>
            </w:tcBorders>
            <w:tcMar>
              <w:top w:type="dxa" w:w="80"/>
              <w:left w:type="dxa" w:w="0"/>
              <w:bottom w:type="dxa" w:w="60"/>
              <w:right w:type="dxa" w:w="0"/>
            </w:tcMar>
          </w:tcPr>
          <w:p>
            <w:pPr>
              <w:spacing w:after="0"/>
            </w:pPr>
            <w:r>
              <w:rPr>
                <w:rFonts w:ascii="DM Mono" w:cs="DM Mono" w:eastAsia="DM Mono" w:hAnsi="DM Mono"/>
                <w:color w:val="9A9384"/>
                <w:spacing w:val="50"/>
                <w:sz w:val="14"/>
                <w:szCs w:val="14"/>
              </w:rPr>
              <w:t xml:space="preserve">DATE</w:t>
            </w:r>
          </w:p>
        </w:tc>
        <w:tc>
          <w:tcPr>
            <w:tcW w:type="dxa" w:w="1800"/>
            <w:tcBorders>
              <w:top w:val="none" w:color="FFFFFF" w:sz="0"/>
              <w:left w:val="none" w:color="FFFFFF" w:sz="0"/>
              <w:bottom w:val="none" w:color="FFFFFF" w:sz="0"/>
              <w:right w:val="none" w:color="FFFFFF" w:sz="0"/>
            </w:tcBorders>
            <w:tcMar>
              <w:top w:type="dxa" w:w="80"/>
              <w:left w:type="dxa" w:w="0"/>
              <w:bottom w:type="dxa" w:w="60"/>
              <w:right w:type="dxa" w:w="0"/>
            </w:tcMar>
          </w:tcPr>
          <w:p>
            <w:pPr>
              <w:spacing w:after="0"/>
            </w:pPr>
            <w:r>
              <w:rPr>
                <w:rFonts w:ascii="DM Mono" w:cs="DM Mono" w:eastAsia="DM Mono" w:hAnsi="DM Mono"/>
                <w:color w:val="9A9384"/>
                <w:spacing w:val="50"/>
                <w:sz w:val="14"/>
                <w:szCs w:val="14"/>
              </w:rPr>
              <w:t xml:space="preserve">SIGNATURE</w:t>
            </w:r>
          </w:p>
        </w:tc>
      </w:tr>
      <w:tr>
        <w:tc>
          <w:tcPr>
            <w:tcW w:type="dxa" w:w="3000"/>
            <w:tcBorders>
              <w:top w:val="none" w:color="FFFFFF" w:sz="0"/>
              <w:left w:val="none" w:color="FFFFFF" w:sz="0"/>
              <w:bottom w:val="single" w:color="E3DDD0" w:sz="4"/>
              <w:right w:val="none" w:color="FFFFFF" w:sz="0"/>
            </w:tcBorders>
            <w:tcMar>
              <w:top w:type="dxa" w:w="200"/>
              <w:left w:type="dxa" w:w="0"/>
              <w:bottom w:type="dxa" w:w="80"/>
              <w:right w:type="dxa" w:w="200"/>
            </w:tcMar>
          </w:tcPr>
          <w:p>
            <w:pPr>
              <w:spacing w:after="0"/>
            </w:pPr>
            <w:r>
              <w:rPr>
                <w:rFonts w:ascii="DM Sans" w:cs="DM Sans" w:eastAsia="DM Sans" w:hAnsi="DM Sans"/>
                <w:color w:val="29261B"/>
                <w:sz w:val="22"/>
                <w:szCs w:val="22"/>
              </w:rPr>
              <w:t xml:space="preserve"> </w:t>
            </w:r>
          </w:p>
        </w:tc>
        <w:tc>
          <w:tcPr>
            <w:tcW w:type="dxa" w:w="2500"/>
            <w:tcBorders>
              <w:top w:val="none" w:color="FFFFFF" w:sz="0"/>
              <w:left w:val="none" w:color="FFFFFF" w:sz="0"/>
              <w:bottom w:val="single" w:color="E3DDD0" w:sz="4"/>
              <w:right w:val="none" w:color="FFFFFF" w:sz="0"/>
            </w:tcBorders>
            <w:tcMar>
              <w:top w:type="dxa" w:w="200"/>
              <w:left w:type="dxa" w:w="0"/>
              <w:bottom w:type="dxa" w:w="80"/>
              <w:right w:type="dxa" w:w="200"/>
            </w:tcMar>
          </w:tcPr>
          <w:p>
            <w:pPr>
              <w:spacing w:after="0"/>
            </w:pPr>
            <w:r>
              <w:rPr>
                <w:rFonts w:ascii="DM Sans" w:cs="DM Sans" w:eastAsia="DM Sans" w:hAnsi="DM Sans"/>
                <w:color w:val="29261B"/>
                <w:sz w:val="22"/>
                <w:szCs w:val="22"/>
              </w:rPr>
              <w:t xml:space="preserve"> </w:t>
            </w:r>
          </w:p>
        </w:tc>
        <w:tc>
          <w:tcPr>
            <w:tcW w:type="dxa" w:w="1700"/>
            <w:tcBorders>
              <w:top w:val="none" w:color="FFFFFF" w:sz="0"/>
              <w:left w:val="none" w:color="FFFFFF" w:sz="0"/>
              <w:bottom w:val="single" w:color="E3DDD0" w:sz="4"/>
              <w:right w:val="none" w:color="FFFFFF" w:sz="0"/>
            </w:tcBorders>
            <w:tcMar>
              <w:top w:type="dxa" w:w="200"/>
              <w:left w:type="dxa" w:w="0"/>
              <w:bottom w:type="dxa" w:w="80"/>
              <w:right w:type="dxa" w:w="200"/>
            </w:tcMar>
          </w:tcPr>
          <w:p>
            <w:pPr>
              <w:spacing w:after="0"/>
            </w:pPr>
            <w:r>
              <w:rPr>
                <w:rFonts w:ascii="DM Sans" w:cs="DM Sans" w:eastAsia="DM Sans" w:hAnsi="DM Sans"/>
                <w:color w:val="29261B"/>
                <w:sz w:val="22"/>
                <w:szCs w:val="22"/>
              </w:rPr>
              <w:t xml:space="preserve"> </w:t>
            </w:r>
          </w:p>
        </w:tc>
        <w:tc>
          <w:tcPr>
            <w:tcW w:type="dxa" w:w="1800"/>
            <w:tcBorders>
              <w:top w:val="none" w:color="FFFFFF" w:sz="0"/>
              <w:left w:val="none" w:color="FFFFFF" w:sz="0"/>
              <w:bottom w:val="single" w:color="E3DDD0" w:sz="4"/>
              <w:right w:val="none" w:color="FFFFFF" w:sz="0"/>
            </w:tcBorders>
            <w:tcMar>
              <w:top w:type="dxa" w:w="200"/>
              <w:left w:type="dxa" w:w="0"/>
              <w:bottom w:type="dxa" w:w="80"/>
              <w:right w:type="dxa" w:w="200"/>
            </w:tcMar>
          </w:tcPr>
          <w:p>
            <w:pPr>
              <w:spacing w:after="0"/>
            </w:pPr>
            <w:r>
              <w:rPr>
                <w:rFonts w:ascii="DM Sans" w:cs="DM Sans" w:eastAsia="DM Sans" w:hAnsi="DM Sans"/>
                <w:color w:val="29261B"/>
                <w:sz w:val="22"/>
                <w:szCs w:val="22"/>
              </w:rPr>
              <w:t xml:space="preserve"> </w:t>
            </w:r>
          </w:p>
        </w:tc>
      </w:tr>
      <w:tr>
        <w:tc>
          <w:tcPr>
            <w:tcW w:type="dxa" w:w="3000"/>
            <w:tcBorders>
              <w:top w:val="none" w:color="FFFFFF" w:sz="0"/>
              <w:left w:val="none" w:color="FFFFFF" w:sz="0"/>
              <w:bottom w:val="single" w:color="E3DDD0" w:sz="4"/>
              <w:right w:val="none" w:color="FFFFFF" w:sz="0"/>
            </w:tcBorders>
            <w:tcMar>
              <w:top w:type="dxa" w:w="200"/>
              <w:left w:type="dxa" w:w="0"/>
              <w:bottom w:type="dxa" w:w="80"/>
              <w:right w:type="dxa" w:w="200"/>
            </w:tcMar>
          </w:tcPr>
          <w:p>
            <w:pPr>
              <w:spacing w:after="0"/>
            </w:pPr>
            <w:r>
              <w:rPr>
                <w:rFonts w:ascii="DM Sans" w:cs="DM Sans" w:eastAsia="DM Sans" w:hAnsi="DM Sans"/>
                <w:color w:val="29261B"/>
                <w:sz w:val="22"/>
                <w:szCs w:val="22"/>
              </w:rPr>
              <w:t xml:space="preserve"> </w:t>
            </w:r>
          </w:p>
        </w:tc>
        <w:tc>
          <w:tcPr>
            <w:tcW w:type="dxa" w:w="2500"/>
            <w:tcBorders>
              <w:top w:val="none" w:color="FFFFFF" w:sz="0"/>
              <w:left w:val="none" w:color="FFFFFF" w:sz="0"/>
              <w:bottom w:val="single" w:color="E3DDD0" w:sz="4"/>
              <w:right w:val="none" w:color="FFFFFF" w:sz="0"/>
            </w:tcBorders>
            <w:tcMar>
              <w:top w:type="dxa" w:w="200"/>
              <w:left w:type="dxa" w:w="0"/>
              <w:bottom w:type="dxa" w:w="80"/>
              <w:right w:type="dxa" w:w="200"/>
            </w:tcMar>
          </w:tcPr>
          <w:p>
            <w:pPr>
              <w:spacing w:after="0"/>
            </w:pPr>
            <w:r>
              <w:rPr>
                <w:rFonts w:ascii="DM Sans" w:cs="DM Sans" w:eastAsia="DM Sans" w:hAnsi="DM Sans"/>
                <w:color w:val="29261B"/>
                <w:sz w:val="22"/>
                <w:szCs w:val="22"/>
              </w:rPr>
              <w:t xml:space="preserve"> </w:t>
            </w:r>
          </w:p>
        </w:tc>
        <w:tc>
          <w:tcPr>
            <w:tcW w:type="dxa" w:w="1700"/>
            <w:tcBorders>
              <w:top w:val="none" w:color="FFFFFF" w:sz="0"/>
              <w:left w:val="none" w:color="FFFFFF" w:sz="0"/>
              <w:bottom w:val="single" w:color="E3DDD0" w:sz="4"/>
              <w:right w:val="none" w:color="FFFFFF" w:sz="0"/>
            </w:tcBorders>
            <w:tcMar>
              <w:top w:type="dxa" w:w="200"/>
              <w:left w:type="dxa" w:w="0"/>
              <w:bottom w:type="dxa" w:w="80"/>
              <w:right w:type="dxa" w:w="200"/>
            </w:tcMar>
          </w:tcPr>
          <w:p>
            <w:pPr>
              <w:spacing w:after="0"/>
            </w:pPr>
            <w:r>
              <w:rPr>
                <w:rFonts w:ascii="DM Sans" w:cs="DM Sans" w:eastAsia="DM Sans" w:hAnsi="DM Sans"/>
                <w:color w:val="29261B"/>
                <w:sz w:val="22"/>
                <w:szCs w:val="22"/>
              </w:rPr>
              <w:t xml:space="preserve"> </w:t>
            </w:r>
          </w:p>
        </w:tc>
        <w:tc>
          <w:tcPr>
            <w:tcW w:type="dxa" w:w="1800"/>
            <w:tcBorders>
              <w:top w:val="none" w:color="FFFFFF" w:sz="0"/>
              <w:left w:val="none" w:color="FFFFFF" w:sz="0"/>
              <w:bottom w:val="single" w:color="E3DDD0" w:sz="4"/>
              <w:right w:val="none" w:color="FFFFFF" w:sz="0"/>
            </w:tcBorders>
            <w:tcMar>
              <w:top w:type="dxa" w:w="200"/>
              <w:left w:type="dxa" w:w="0"/>
              <w:bottom w:type="dxa" w:w="80"/>
              <w:right w:type="dxa" w:w="200"/>
            </w:tcMar>
          </w:tcPr>
          <w:p>
            <w:pPr>
              <w:spacing w:after="0"/>
            </w:pPr>
            <w:r>
              <w:rPr>
                <w:rFonts w:ascii="DM Sans" w:cs="DM Sans" w:eastAsia="DM Sans" w:hAnsi="DM Sans"/>
                <w:color w:val="29261B"/>
                <w:sz w:val="22"/>
                <w:szCs w:val="22"/>
              </w:rPr>
              <w:t xml:space="preserve"> </w:t>
            </w:r>
          </w:p>
        </w:tc>
      </w:tr>
      <w:tr>
        <w:tc>
          <w:tcPr>
            <w:tcW w:type="dxa" w:w="3000"/>
            <w:tcBorders>
              <w:top w:val="none" w:color="FFFFFF" w:sz="0"/>
              <w:left w:val="none" w:color="FFFFFF" w:sz="0"/>
              <w:bottom w:val="single" w:color="E3DDD0" w:sz="4"/>
              <w:right w:val="none" w:color="FFFFFF" w:sz="0"/>
            </w:tcBorders>
            <w:tcMar>
              <w:top w:type="dxa" w:w="200"/>
              <w:left w:type="dxa" w:w="0"/>
              <w:bottom w:type="dxa" w:w="80"/>
              <w:right w:type="dxa" w:w="200"/>
            </w:tcMar>
          </w:tcPr>
          <w:p>
            <w:pPr>
              <w:spacing w:after="0"/>
            </w:pPr>
            <w:r>
              <w:rPr>
                <w:rFonts w:ascii="DM Sans" w:cs="DM Sans" w:eastAsia="DM Sans" w:hAnsi="DM Sans"/>
                <w:color w:val="29261B"/>
                <w:sz w:val="22"/>
                <w:szCs w:val="22"/>
              </w:rPr>
              <w:t xml:space="preserve"> </w:t>
            </w:r>
          </w:p>
        </w:tc>
        <w:tc>
          <w:tcPr>
            <w:tcW w:type="dxa" w:w="2500"/>
            <w:tcBorders>
              <w:top w:val="none" w:color="FFFFFF" w:sz="0"/>
              <w:left w:val="none" w:color="FFFFFF" w:sz="0"/>
              <w:bottom w:val="single" w:color="E3DDD0" w:sz="4"/>
              <w:right w:val="none" w:color="FFFFFF" w:sz="0"/>
            </w:tcBorders>
            <w:tcMar>
              <w:top w:type="dxa" w:w="200"/>
              <w:left w:type="dxa" w:w="0"/>
              <w:bottom w:type="dxa" w:w="80"/>
              <w:right w:type="dxa" w:w="200"/>
            </w:tcMar>
          </w:tcPr>
          <w:p>
            <w:pPr>
              <w:spacing w:after="0"/>
            </w:pPr>
            <w:r>
              <w:rPr>
                <w:rFonts w:ascii="DM Sans" w:cs="DM Sans" w:eastAsia="DM Sans" w:hAnsi="DM Sans"/>
                <w:color w:val="29261B"/>
                <w:sz w:val="22"/>
                <w:szCs w:val="22"/>
              </w:rPr>
              <w:t xml:space="preserve"> </w:t>
            </w:r>
          </w:p>
        </w:tc>
        <w:tc>
          <w:tcPr>
            <w:tcW w:type="dxa" w:w="1700"/>
            <w:tcBorders>
              <w:top w:val="none" w:color="FFFFFF" w:sz="0"/>
              <w:left w:val="none" w:color="FFFFFF" w:sz="0"/>
              <w:bottom w:val="single" w:color="E3DDD0" w:sz="4"/>
              <w:right w:val="none" w:color="FFFFFF" w:sz="0"/>
            </w:tcBorders>
            <w:tcMar>
              <w:top w:type="dxa" w:w="200"/>
              <w:left w:type="dxa" w:w="0"/>
              <w:bottom w:type="dxa" w:w="80"/>
              <w:right w:type="dxa" w:w="200"/>
            </w:tcMar>
          </w:tcPr>
          <w:p>
            <w:pPr>
              <w:spacing w:after="0"/>
            </w:pPr>
            <w:r>
              <w:rPr>
                <w:rFonts w:ascii="DM Sans" w:cs="DM Sans" w:eastAsia="DM Sans" w:hAnsi="DM Sans"/>
                <w:color w:val="29261B"/>
                <w:sz w:val="22"/>
                <w:szCs w:val="22"/>
              </w:rPr>
              <w:t xml:space="preserve"> </w:t>
            </w:r>
          </w:p>
        </w:tc>
        <w:tc>
          <w:tcPr>
            <w:tcW w:type="dxa" w:w="1800"/>
            <w:tcBorders>
              <w:top w:val="none" w:color="FFFFFF" w:sz="0"/>
              <w:left w:val="none" w:color="FFFFFF" w:sz="0"/>
              <w:bottom w:val="single" w:color="E3DDD0" w:sz="4"/>
              <w:right w:val="none" w:color="FFFFFF" w:sz="0"/>
            </w:tcBorders>
            <w:tcMar>
              <w:top w:type="dxa" w:w="200"/>
              <w:left w:type="dxa" w:w="0"/>
              <w:bottom w:type="dxa" w:w="80"/>
              <w:right w:type="dxa" w:w="200"/>
            </w:tcMar>
          </w:tcPr>
          <w:p>
            <w:pPr>
              <w:spacing w:after="0"/>
            </w:pPr>
            <w:r>
              <w:rPr>
                <w:rFonts w:ascii="DM Sans" w:cs="DM Sans" w:eastAsia="DM Sans" w:hAnsi="DM Sans"/>
                <w:color w:val="29261B"/>
                <w:sz w:val="22"/>
                <w:szCs w:val="22"/>
              </w:rPr>
              <w:t xml:space="preserve"> </w:t>
            </w:r>
          </w:p>
        </w:tc>
      </w:tr>
    </w:tbl>
    <w:p>
      <w:pPr>
        <w:spacing w:after="80" w:before="480"/>
      </w:pPr>
      <w:r>
        <w:rPr>
          <w:rFonts w:ascii="DM Mono" w:cs="DM Mono" w:eastAsia="DM Mono" w:hAnsi="DM Mono"/>
          <w:color w:val="6B6657"/>
          <w:spacing w:val="60"/>
          <w:sz w:val="16"/>
          <w:szCs w:val="16"/>
        </w:rPr>
        <w:t xml:space="preserve">11</w:t>
      </w:r>
      <w:r>
        <w:rPr>
          <w:rFonts w:ascii="DM Mono" w:cs="DM Mono" w:eastAsia="DM Mono" w:hAnsi="DM Mono"/>
          <w:color w:val="9A9384"/>
          <w:sz w:val="16"/>
          <w:szCs w:val="16"/>
        </w:rPr>
        <w:t xml:space="preserve">  ·  </w:t>
      </w:r>
      <w:r>
        <w:rPr>
          <w:rFonts w:ascii="DM Mono" w:cs="DM Mono" w:eastAsia="DM Mono" w:hAnsi="DM Mono"/>
          <w:color w:val="6B6657"/>
          <w:spacing w:val="60"/>
          <w:sz w:val="16"/>
          <w:szCs w:val="16"/>
        </w:rPr>
        <w:t xml:space="preserve">REVIEW</w:t>
      </w:r>
    </w:p>
    <w:p>
      <w:pPr>
        <w:spacing w:after="240" w:before="0"/>
      </w:pPr>
      <w:r>
        <w:rPr>
          <w:rFonts w:ascii="Cormorant Garamond" w:cs="Cormorant Garamond" w:eastAsia="Cormorant Garamond" w:hAnsi="Cormorant Garamond"/>
          <w:color w:val="29261B"/>
          <w:sz w:val="36"/>
          <w:szCs w:val="36"/>
        </w:rPr>
        <w:t xml:space="preserve">How often we revisit this policy.</w:t>
      </w:r>
    </w:p>
    <w:p>
      <w:pPr>
        <w:spacing w:after="160" w:before="0" w:line="320"/>
      </w:pPr>
      <w:r>
        <w:rPr>
          <w:rFonts w:ascii="DM Sans" w:cs="DM Sans" w:eastAsia="DM Sans" w:hAnsi="DM Sans"/>
          <w:color w:val="29261B"/>
          <w:sz w:val="22"/>
          <w:szCs w:val="22"/>
        </w:rPr>
        <w:t xml:space="preserve">This policy is reviewed quarterly, or sooner if a material change occurs (a new tool is added, a provider's terms change, a regulator issues new guidance, or the EU AI Act itself is amended). The next review date is recorded in Section 01.</w:t>
      </w:r>
    </w:p>
    <w:p>
      <w:pPr>
        <w:pBdr>
          <w:bottom w:val="single" w:color="E3DDD0" w:sz="4" w:space="1"/>
        </w:pBdr>
        <w:spacing w:after="240" w:before="240"/>
      </w:pPr>
      <w:r>
        <w:t xml:space="preserve"/>
      </w:r>
    </w:p>
    <w:p>
      <w:pPr>
        <w:spacing w:after="80" w:before="240"/>
      </w:pPr>
      <w:r>
        <w:rPr>
          <w:rFonts w:ascii="DM Mono" w:cs="DM Mono" w:eastAsia="DM Mono" w:hAnsi="DM Mono"/>
          <w:color w:val="6B6657"/>
          <w:spacing w:val="60"/>
          <w:sz w:val="16"/>
          <w:szCs w:val="16"/>
        </w:rPr>
        <w:t xml:space="preserve">ANNEX A</w:t>
      </w:r>
    </w:p>
    <w:p>
      <w:pPr>
        <w:spacing w:after="160" w:before="0"/>
      </w:pPr>
      <w:r>
        <w:rPr>
          <w:rFonts w:ascii="Cormorant Garamond" w:cs="Cormorant Garamond" w:eastAsia="Cormorant Garamond" w:hAnsi="Cormorant Garamond"/>
          <w:color w:val="29261B"/>
          <w:sz w:val="36"/>
          <w:szCs w:val="36"/>
        </w:rPr>
        <w:t xml:space="preserve">If you have a high-risk AI tool.</w:t>
      </w:r>
    </w:p>
    <w:p>
      <w:pPr>
        <w:spacing w:after="160" w:before="0" w:line="320"/>
      </w:pPr>
      <w:r>
        <w:rPr>
          <w:rFonts w:ascii="DM Sans" w:cs="DM Sans" w:eastAsia="DM Sans" w:hAnsi="DM Sans"/>
          <w:color w:val="29261B"/>
          <w:sz w:val="22"/>
          <w:szCs w:val="22"/>
        </w:rPr>
        <w:t xml:space="preserve">This annex applies only if at least one tool in your inventory is classified as High under Annex III of the EU AI Act. If everything in your inventory is Limited or Minimal, you can skip this annex.</w:t>
      </w:r>
    </w:p>
    <w:p>
      <w:pPr>
        <w:spacing w:after="160" w:before="0" w:line="320"/>
      </w:pPr>
      <w:r>
        <w:rPr>
          <w:rFonts w:ascii="DM Sans" w:cs="DM Sans" w:eastAsia="DM Sans" w:hAnsi="DM Sans"/>
          <w:color w:val="29261B"/>
          <w:sz w:val="22"/>
          <w:szCs w:val="22"/>
        </w:rPr>
        <w:t xml:space="preserve">Article 26 of the AI Act imposes additional obligations on deployers (organisations that use, not build, high-risk AI). For a small consultancy that does deploy a high-risk system, the relevant duties include:</w:t>
      </w:r>
    </w:p>
    <w:p>
      <w:pPr>
        <w:pStyle w:val="ListParagraph"/>
        <w:numPr>
          <w:ilvl w:val="0"/>
          <w:numId w:val="2"/>
        </w:numPr>
        <w:spacing w:after="80" w:before="0" w:line="300"/>
      </w:pPr>
      <w:r>
        <w:rPr>
          <w:rFonts w:ascii="DM Sans" w:cs="DM Sans" w:eastAsia="DM Sans" w:hAnsi="DM Sans"/>
          <w:color w:val="29261B"/>
          <w:sz w:val="22"/>
          <w:szCs w:val="22"/>
        </w:rPr>
        <w:t xml:space="preserve">Use the system in accordance with its provider's instructions.</w:t>
      </w:r>
    </w:p>
    <w:p>
      <w:pPr>
        <w:pStyle w:val="ListParagraph"/>
        <w:numPr>
          <w:ilvl w:val="0"/>
          <w:numId w:val="2"/>
        </w:numPr>
        <w:spacing w:after="80" w:before="0" w:line="300"/>
      </w:pPr>
      <w:r>
        <w:rPr>
          <w:rFonts w:ascii="DM Sans" w:cs="DM Sans" w:eastAsia="DM Sans" w:hAnsi="DM Sans"/>
          <w:color w:val="29261B"/>
          <w:sz w:val="22"/>
          <w:szCs w:val="22"/>
        </w:rPr>
        <w:t xml:space="preserve">Assign human oversight to people with the necessary competence, training, and authority.</w:t>
      </w:r>
    </w:p>
    <w:p>
      <w:pPr>
        <w:pStyle w:val="ListParagraph"/>
        <w:numPr>
          <w:ilvl w:val="0"/>
          <w:numId w:val="2"/>
        </w:numPr>
        <w:spacing w:after="80" w:before="0" w:line="300"/>
      </w:pPr>
      <w:r>
        <w:rPr>
          <w:rFonts w:ascii="DM Sans" w:cs="DM Sans" w:eastAsia="DM Sans" w:hAnsi="DM Sans"/>
          <w:color w:val="29261B"/>
          <w:sz w:val="22"/>
          <w:szCs w:val="22"/>
        </w:rPr>
        <w:t xml:space="preserve">Ensure input data is relevant and sufficiently representative for the intended purpose.</w:t>
      </w:r>
    </w:p>
    <w:p>
      <w:pPr>
        <w:pStyle w:val="ListParagraph"/>
        <w:numPr>
          <w:ilvl w:val="0"/>
          <w:numId w:val="2"/>
        </w:numPr>
        <w:spacing w:after="80" w:before="0" w:line="300"/>
      </w:pPr>
      <w:r>
        <w:rPr>
          <w:rFonts w:ascii="DM Sans" w:cs="DM Sans" w:eastAsia="DM Sans" w:hAnsi="DM Sans"/>
          <w:color w:val="29261B"/>
          <w:sz w:val="22"/>
          <w:szCs w:val="22"/>
        </w:rPr>
        <w:t xml:space="preserve">Monitor the operation of the system and inform the provider and (in some cases) the national authority of any serious incident or malfunction.</w:t>
      </w:r>
    </w:p>
    <w:p>
      <w:pPr>
        <w:pStyle w:val="ListParagraph"/>
        <w:numPr>
          <w:ilvl w:val="0"/>
          <w:numId w:val="2"/>
        </w:numPr>
        <w:spacing w:after="80" w:before="0" w:line="300"/>
      </w:pPr>
      <w:r>
        <w:rPr>
          <w:rFonts w:ascii="DM Sans" w:cs="DM Sans" w:eastAsia="DM Sans" w:hAnsi="DM Sans"/>
          <w:color w:val="29261B"/>
          <w:sz w:val="22"/>
          <w:szCs w:val="22"/>
        </w:rPr>
        <w:t xml:space="preserve">Keep logs automatically generated by the system for an appropriate period.</w:t>
      </w:r>
    </w:p>
    <w:p>
      <w:pPr>
        <w:pStyle w:val="ListParagraph"/>
        <w:numPr>
          <w:ilvl w:val="0"/>
          <w:numId w:val="2"/>
        </w:numPr>
        <w:spacing w:after="80" w:before="0" w:line="300"/>
      </w:pPr>
      <w:r>
        <w:rPr>
          <w:rFonts w:ascii="DM Sans" w:cs="DM Sans" w:eastAsia="DM Sans" w:hAnsi="DM Sans"/>
          <w:color w:val="29261B"/>
          <w:sz w:val="22"/>
          <w:szCs w:val="22"/>
        </w:rPr>
        <w:t xml:space="preserve">Inform employees and their representatives before putting a high-risk system into use in the workplace.</w:t>
      </w:r>
    </w:p>
    <w:p>
      <w:pPr>
        <w:pStyle w:val="ListParagraph"/>
        <w:numPr>
          <w:ilvl w:val="0"/>
          <w:numId w:val="2"/>
        </w:numPr>
        <w:spacing w:after="80" w:before="0" w:line="300"/>
      </w:pPr>
      <w:r>
        <w:rPr>
          <w:rFonts w:ascii="DM Sans" w:cs="DM Sans" w:eastAsia="DM Sans" w:hAnsi="DM Sans"/>
          <w:color w:val="29261B"/>
          <w:sz w:val="22"/>
          <w:szCs w:val="22"/>
        </w:rPr>
        <w:t xml:space="preserve">Where the system makes or assists decisions about natural persons, inform those persons that they are subject to such use.</w:t>
      </w:r>
    </w:p>
    <w:p>
      <w:pPr>
        <w:spacing w:after="160" w:before="240" w:line="320"/>
      </w:pPr>
      <w:r>
        <w:rPr>
          <w:rFonts w:ascii="DM Sans" w:cs="DM Sans" w:eastAsia="DM Sans" w:hAnsi="DM Sans"/>
          <w:color w:val="29261B"/>
          <w:sz w:val="22"/>
          <w:szCs w:val="22"/>
        </w:rPr>
        <w:t xml:space="preserve">Article 27 additionally requires certain deployers (public bodies, providers of essential services such as banking and insurance) to conduct a fundamental rights impact assessment before deploying high-risk AI. Most small private-sector consultancies will not trigger this; consult a lawyer if you are unsure whether your sector falls within scope.</w:t>
      </w:r>
    </w:p>
    <w:tbl>
      <w:tblPr>
        <w:tblW w:type="dxa" w:w="9000"/>
        <w:tblBorders>
          <w:top w:val="none" w:color="FFFFFF" w:sz="0"/>
          <w:left w:val="single" w:color="9A9384" w:sz="12"/>
          <w:bottom w:val="none" w:color="FFFFFF" w:sz="0"/>
          <w:right w:val="none" w:color="FFFFFF" w:sz="0"/>
          <w:insideH w:val="none" w:color="FFFFFF" w:sz="0"/>
          <w:insideV w:val="none" w:color="FFFFFF" w:sz="0"/>
        </w:tblBorders>
      </w:tblPr>
      <w:tblGrid>
        <w:gridCol w:w="9000"/>
      </w:tblGrid>
      <w:tr>
        <w:tc>
          <w:tcPr>
            <w:tcW w:type="dxa" w:w="9000"/>
            <w:shd w:fill="ECDFC7" w:color="auto" w:val="clear"/>
            <w:tcMar>
              <w:top w:type="dxa" w:w="320"/>
              <w:left w:type="dxa" w:w="360"/>
              <w:bottom w:type="dxa" w:w="320"/>
              <w:right w:type="dxa" w:w="360"/>
            </w:tcMar>
          </w:tcPr>
          <w:p>
            <w:pPr>
              <w:spacing w:after="120"/>
            </w:pPr>
            <w:r>
              <w:rPr>
                <w:rFonts w:ascii="Cormorant Garamond" w:cs="Cormorant Garamond" w:eastAsia="Cormorant Garamond" w:hAnsi="Cormorant Garamond"/>
                <w:color w:val="29261B"/>
                <w:sz w:val="28"/>
                <w:szCs w:val="28"/>
              </w:rPr>
              <w:t xml:space="preserve">When to get help.</w:t>
            </w:r>
          </w:p>
          <w:p>
            <w:pPr>
              <w:spacing w:after="100" w:line="300"/>
            </w:pPr>
            <w:r>
              <w:rPr>
                <w:rFonts w:ascii="DM Sans" w:cs="DM Sans" w:eastAsia="DM Sans" w:hAnsi="DM Sans"/>
                <w:color w:val="29261B"/>
                <w:sz w:val="20"/>
                <w:szCs w:val="20"/>
              </w:rPr>
              <w:t xml:space="preserve">If a tool in your inventory is High-risk and you are not certain whether or how Articles 26 or 27 apply to your specific deployment, this is the point at which doing the work yourself is no longer realistic. A short conversation with a lawyer who specialises in AI or technology regulation is the right next step. The Commission's AI Pact (digital-strategy.ec.europa.eu) maintains a directory of practitioners and guidance for SMEs.</w:t>
            </w:r>
          </w:p>
        </w:tc>
      </w:tr>
    </w:tbl>
    <w:p>
      <w:pPr>
        <w:spacing w:after="80" w:before="480"/>
      </w:pPr>
      <w:r>
        <w:rPr>
          <w:rFonts w:ascii="DM Mono" w:cs="DM Mono" w:eastAsia="DM Mono" w:hAnsi="DM Mono"/>
          <w:color w:val="6B6657"/>
          <w:spacing w:val="60"/>
          <w:sz w:val="16"/>
          <w:szCs w:val="16"/>
        </w:rPr>
        <w:t xml:space="preserve">ANNEX B</w:t>
      </w:r>
    </w:p>
    <w:p>
      <w:pPr>
        <w:spacing w:after="160" w:before="0"/>
      </w:pPr>
      <w:r>
        <w:rPr>
          <w:rFonts w:ascii="Cormorant Garamond" w:cs="Cormorant Garamond" w:eastAsia="Cormorant Garamond" w:hAnsi="Cormorant Garamond"/>
          <w:color w:val="29261B"/>
          <w:sz w:val="36"/>
          <w:szCs w:val="36"/>
        </w:rPr>
        <w:t xml:space="preserve">National supervisory authorities.</w:t>
      </w:r>
    </w:p>
    <w:p>
      <w:pPr>
        <w:spacing w:after="160" w:before="0" w:line="320"/>
      </w:pPr>
      <w:r>
        <w:rPr>
          <w:rFonts w:ascii="DM Sans" w:cs="DM Sans" w:eastAsia="DM Sans" w:hAnsi="DM Sans"/>
          <w:color w:val="29261B"/>
          <w:sz w:val="22"/>
          <w:szCs w:val="22"/>
        </w:rPr>
        <w:t xml:space="preserve">For incident reporting under Article 73, vendor disputes, or general guidance, contact the supervisory authority in the EU member state where your practice is established. A non-exhaustive directory:</w:t>
      </w:r>
    </w:p>
    <w:p>
      <w:pPr>
        <w:pStyle w:val="ListParagraph"/>
        <w:numPr>
          <w:ilvl w:val="0"/>
          <w:numId w:val="2"/>
        </w:numPr>
        <w:spacing w:after="80" w:before="0" w:line="300"/>
      </w:pPr>
      <w:r>
        <w:rPr>
          <w:rFonts w:ascii="DM Sans" w:cs="DM Sans" w:eastAsia="DM Sans" w:hAnsi="DM Sans"/>
          <w:color w:val="29261B"/>
          <w:sz w:val="22"/>
          <w:szCs w:val="22"/>
        </w:rPr>
        <w:t xml:space="preserve">France: CNIL (cnil.fr/en/artificial-intelligence).</w:t>
      </w:r>
    </w:p>
    <w:p>
      <w:pPr>
        <w:pStyle w:val="ListParagraph"/>
        <w:numPr>
          <w:ilvl w:val="0"/>
          <w:numId w:val="2"/>
        </w:numPr>
        <w:spacing w:after="80" w:before="0" w:line="300"/>
      </w:pPr>
      <w:r>
        <w:rPr>
          <w:rFonts w:ascii="DM Sans" w:cs="DM Sans" w:eastAsia="DM Sans" w:hAnsi="DM Sans"/>
          <w:color w:val="29261B"/>
          <w:sz w:val="22"/>
          <w:szCs w:val="22"/>
        </w:rPr>
        <w:t xml:space="preserve">Germany: Bundesnetzagentur (bundesnetzagentur.de) and the federal Datenschutzkonferenz.</w:t>
      </w:r>
    </w:p>
    <w:p>
      <w:pPr>
        <w:pStyle w:val="ListParagraph"/>
        <w:numPr>
          <w:ilvl w:val="0"/>
          <w:numId w:val="2"/>
        </w:numPr>
        <w:spacing w:after="80" w:before="0" w:line="300"/>
      </w:pPr>
      <w:r>
        <w:rPr>
          <w:rFonts w:ascii="DM Sans" w:cs="DM Sans" w:eastAsia="DM Sans" w:hAnsi="DM Sans"/>
          <w:color w:val="29261B"/>
          <w:sz w:val="22"/>
          <w:szCs w:val="22"/>
        </w:rPr>
        <w:t xml:space="preserve">Spain: Agencia Española de Supervisión de Inteligencia Artificial (aesia.gob.es).</w:t>
      </w:r>
    </w:p>
    <w:p>
      <w:pPr>
        <w:pStyle w:val="ListParagraph"/>
        <w:numPr>
          <w:ilvl w:val="0"/>
          <w:numId w:val="2"/>
        </w:numPr>
        <w:spacing w:after="80" w:before="0" w:line="300"/>
      </w:pPr>
      <w:r>
        <w:rPr>
          <w:rFonts w:ascii="DM Sans" w:cs="DM Sans" w:eastAsia="DM Sans" w:hAnsi="DM Sans"/>
          <w:color w:val="29261B"/>
          <w:sz w:val="22"/>
          <w:szCs w:val="22"/>
        </w:rPr>
        <w:t xml:space="preserve">Italy: Agenzia per l'Italia Digitale (agid.gov.it) and the Garante per la protezione dei dati personali.</w:t>
      </w:r>
    </w:p>
    <w:p>
      <w:pPr>
        <w:pStyle w:val="ListParagraph"/>
        <w:numPr>
          <w:ilvl w:val="0"/>
          <w:numId w:val="2"/>
        </w:numPr>
        <w:spacing w:after="80" w:before="0" w:line="300"/>
      </w:pPr>
      <w:r>
        <w:rPr>
          <w:rFonts w:ascii="DM Sans" w:cs="DM Sans" w:eastAsia="DM Sans" w:hAnsi="DM Sans"/>
          <w:color w:val="29261B"/>
          <w:sz w:val="22"/>
          <w:szCs w:val="22"/>
        </w:rPr>
        <w:t xml:space="preserve">Netherlands: Autoriteit Persoonsgegevens (autoriteitpersoonsgegevens.nl).</w:t>
      </w:r>
    </w:p>
    <w:p>
      <w:pPr>
        <w:pStyle w:val="ListParagraph"/>
        <w:numPr>
          <w:ilvl w:val="0"/>
          <w:numId w:val="2"/>
        </w:numPr>
        <w:spacing w:after="80" w:before="0" w:line="300"/>
      </w:pPr>
      <w:r>
        <w:rPr>
          <w:rFonts w:ascii="DM Sans" w:cs="DM Sans" w:eastAsia="DM Sans" w:hAnsi="DM Sans"/>
          <w:color w:val="29261B"/>
          <w:sz w:val="22"/>
          <w:szCs w:val="22"/>
        </w:rPr>
        <w:t xml:space="preserve">Ireland: Data Protection Commission (dataprotection.ie) and the National Standards Authority of Ireland.</w:t>
      </w:r>
    </w:p>
    <w:p>
      <w:pPr>
        <w:pStyle w:val="ListParagraph"/>
        <w:numPr>
          <w:ilvl w:val="0"/>
          <w:numId w:val="2"/>
        </w:numPr>
        <w:spacing w:after="80" w:before="0" w:line="300"/>
      </w:pPr>
      <w:r>
        <w:rPr>
          <w:rFonts w:ascii="DM Sans" w:cs="DM Sans" w:eastAsia="DM Sans" w:hAnsi="DM Sans"/>
          <w:color w:val="29261B"/>
          <w:sz w:val="22"/>
          <w:szCs w:val="22"/>
        </w:rPr>
        <w:t xml:space="preserve">United Kingdom: Information Commissioner's Office (ico.org.uk). UK businesses serving EU users remain subject to the EU AI Act in addition to the UK's domestic regime.</w:t>
      </w:r>
    </w:p>
    <w:p>
      <w:pPr>
        <w:spacing w:after="160" w:before="240" w:line="320"/>
      </w:pPr>
      <w:r>
        <w:rPr>
          <w:rFonts w:ascii="DM Sans" w:cs="DM Sans" w:eastAsia="DM Sans" w:hAnsi="DM Sans"/>
          <w:color w:val="29261B"/>
          <w:sz w:val="22"/>
          <w:szCs w:val="22"/>
        </w:rPr>
        <w:t xml:space="preserve">For other member states, see the Commission's directory at digital-strategy.ec.europa.eu/en/policies/regulatory-framework-ai. For cross-border issues, the European AI Office (digital-strategy.ec.europa.eu/en/policies/ai-office) coordinates national authorities and provides a central point of contact.</w:t>
      </w:r>
    </w:p>
    <w:p>
      <w:pPr>
        <w:pBdr>
          <w:bottom w:val="single" w:color="E3DDD0" w:sz="4" w:space="1"/>
        </w:pBdr>
        <w:spacing w:after="240" w:before="240"/>
      </w:pPr>
      <w:r>
        <w:t xml:space="preserve"/>
      </w:r>
    </w:p>
    <w:p>
      <w:pPr>
        <w:spacing w:after="120" w:before="0"/>
      </w:pPr>
      <w:r>
        <w:rPr>
          <w:rFonts w:ascii="DM Mono" w:cs="DM Mono" w:eastAsia="DM Mono" w:hAnsi="DM Mono"/>
          <w:color w:val="6B6657"/>
          <w:spacing w:val="60"/>
          <w:sz w:val="16"/>
          <w:szCs w:val="16"/>
        </w:rPr>
        <w:t xml:space="preserve">DISCLAIMER</w:t>
      </w:r>
    </w:p>
    <w:p>
      <w:pPr>
        <w:spacing w:after="0" w:before="0" w:line="280"/>
      </w:pPr>
      <w:r>
        <w:rPr>
          <w:rFonts w:ascii="DM Sans" w:cs="DM Sans" w:eastAsia="DM Sans" w:hAnsi="DM Sans"/>
          <w:i/>
          <w:iCs/>
          <w:color w:val="6B6657"/>
          <w:sz w:val="18"/>
          <w:szCs w:val="18"/>
        </w:rPr>
        <w:t xml:space="preserve">This template is a starter framework for small practices, not legal advice. It covers Articles 4, 5, 13, 26, 27, 50, and 73 of the EU AI Act, and signposts adjacent obligations under GDPR. For high-risk AI use cases (Annex III), and for any matter where you are uncertain whether or how a specific obligation applies to your practice, consult a lawyer in addition to using this template. The EU AI Act continues to settle as the Commission publishes further guidance; this version reflects the law as of May 2026.</w:t>
      </w:r>
    </w:p>
    <w:p>
      <w:pPr>
        <w:pBdr>
          <w:top w:val="single" w:color="E3DDD0" w:sz="4" w:space="8"/>
        </w:pBdr>
        <w:tabs>
          <w:tab w:val="right" w:pos="9000"/>
        </w:tabs>
        <w:spacing w:after="0" w:before="480"/>
      </w:pPr>
      <w:r>
        <w:rPr>
          <w:rFonts w:ascii="DM Mono" w:cs="DM Mono" w:eastAsia="DM Mono" w:hAnsi="DM Mono"/>
          <w:color w:val="9A9384"/>
          <w:spacing w:val="60"/>
          <w:sz w:val="14"/>
          <w:szCs w:val="14"/>
        </w:rPr>
        <w:t xml:space="preserve">AI USE POLICY  ·  V1.1  ·  MAY 2026</w:t>
      </w:r>
      <w:r>
        <w:rPr>
          <w:rFonts w:ascii="DM Mono" w:cs="DM Mono" w:eastAsia="DM Mono" w:hAnsi="DM Mono"/>
          <w:color w:val="9A9384"/>
          <w:spacing w:val="60"/>
          <w:sz w:val="14"/>
          <w:szCs w:val="14"/>
        </w:rPr>
        <w:tab/>
        <w:t xml:space="preserve">TEMPLATE BY SOPHIE'S BUREAU  ·  SOPHIESBUREAU.COM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rPr>
        <w:color w:val="9A9384"/>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color w:val="29261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Use Policy</dc:title>
  <dc:creator>AI Use Policy Template</dc:creator>
  <dc:description>An AI use policy for small consultancies and independent practices, covering Articles 4, 5, 13, 26, 27, 50, and 73 of the EU AI Act, plus GDPR overlap.</dc:description>
  <cp:lastModifiedBy>Un-named</cp:lastModifiedBy>
  <cp:revision>1</cp:revision>
  <dcterms:created xsi:type="dcterms:W3CDTF">2026-05-14T16:17:59.506Z</dcterms:created>
  <dcterms:modified xsi:type="dcterms:W3CDTF">2026-05-14T16:17:59.521Z</dcterms:modified>
</cp:coreProperties>
</file>

<file path=docProps/custom.xml><?xml version="1.0" encoding="utf-8"?>
<Properties xmlns="http://schemas.openxmlformats.org/officeDocument/2006/custom-properties" xmlns:vt="http://schemas.openxmlformats.org/officeDocument/2006/docPropsVTypes"/>
</file>